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71AE" w14:textId="71B6E04A" w:rsidR="0002423A" w:rsidRDefault="00C83A1A">
      <w:r>
        <w:rPr>
          <w:noProof/>
        </w:rPr>
        <mc:AlternateContent>
          <mc:Choice Requires="wps">
            <w:drawing>
              <wp:anchor distT="0" distB="0" distL="114300" distR="114300" simplePos="0" relativeHeight="251658241" behindDoc="1" locked="0" layoutInCell="1" allowOverlap="1" wp14:anchorId="6F315CE0" wp14:editId="50729A70">
                <wp:simplePos x="0" y="0"/>
                <wp:positionH relativeFrom="margin">
                  <wp:posOffset>5420029</wp:posOffset>
                </wp:positionH>
                <wp:positionV relativeFrom="page">
                  <wp:posOffset>182245</wp:posOffset>
                </wp:positionV>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6DFF915" w14:textId="6A361518" w:rsidR="00C83A1A" w:rsidRDefault="00E348EA" w:rsidP="00C83A1A">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F315CE0" id="Rectangle 132" o:spid="_x0000_s1026" style="position:absolute;margin-left:426.75pt;margin-top:14.35pt;width:46.8pt;height:77.75pt;z-index:-251658239;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46DFF915" w14:textId="6A361518" w:rsidR="00C83A1A" w:rsidRDefault="00E348EA" w:rsidP="00C83A1A">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p>
    <w:p w14:paraId="4821065C" w14:textId="77777777" w:rsidR="0002423A" w:rsidRDefault="0002423A"/>
    <w:p w14:paraId="636EDEBD" w14:textId="644B3503" w:rsidR="0002423A" w:rsidRDefault="0002423A"/>
    <w:p w14:paraId="23C307D9" w14:textId="510F3A8D" w:rsidR="0002423A" w:rsidRDefault="0002423A"/>
    <w:p w14:paraId="7A71FBBF" w14:textId="343DA5E8" w:rsidR="0002423A" w:rsidRDefault="0002423A">
      <w:r>
        <w:rPr>
          <w:noProof/>
        </w:rPr>
        <mc:AlternateContent>
          <mc:Choice Requires="wps">
            <w:drawing>
              <wp:anchor distT="0" distB="0" distL="182880" distR="182880" simplePos="0" relativeHeight="251658240" behindDoc="0" locked="0" layoutInCell="1" allowOverlap="1" wp14:anchorId="69491570" wp14:editId="68058217">
                <wp:simplePos x="0" y="0"/>
                <wp:positionH relativeFrom="margin">
                  <wp:posOffset>440674</wp:posOffset>
                </wp:positionH>
                <wp:positionV relativeFrom="page">
                  <wp:posOffset>2290897</wp:posOffset>
                </wp:positionV>
                <wp:extent cx="4686300" cy="6720840"/>
                <wp:effectExtent l="0" t="0" r="10160" b="8255"/>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1AD54" w14:textId="35C3CA8C" w:rsidR="00652672" w:rsidRPr="005C289C" w:rsidRDefault="00FD6A19" w:rsidP="00652672">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C6CEA">
                                  <w:rPr>
                                    <w:color w:val="4472C4" w:themeColor="accent1"/>
                                    <w:sz w:val="72"/>
                                    <w:szCs w:val="72"/>
                                  </w:rPr>
                                  <w:t>Capital Area COVID-19 Vaccine Distribution Plan Companion</w:t>
                                </w:r>
                              </w:sdtContent>
                            </w:sdt>
                          </w:p>
                          <w:sdt>
                            <w:sdtPr>
                              <w:rPr>
                                <w:rFonts w:cstheme="minorHAnsi"/>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225E750" w14:textId="44316385" w:rsidR="00652672" w:rsidRPr="0002423A" w:rsidRDefault="00033BB6" w:rsidP="0002423A">
                                <w:pPr>
                                  <w:pStyle w:val="NoSpacing"/>
                                  <w:spacing w:before="40" w:after="40"/>
                                  <w:rPr>
                                    <w:rFonts w:cstheme="minorHAnsi"/>
                                    <w:caps/>
                                    <w:color w:val="1F4E79" w:themeColor="accent5" w:themeShade="80"/>
                                    <w:sz w:val="28"/>
                                    <w:szCs w:val="28"/>
                                  </w:rPr>
                                </w:pPr>
                                <w:r w:rsidRPr="0002423A">
                                  <w:rPr>
                                    <w:rFonts w:cstheme="minorHAnsi"/>
                                    <w:caps/>
                                    <w:color w:val="1F4E79" w:themeColor="accent5" w:themeShade="80"/>
                                    <w:sz w:val="28"/>
                                    <w:szCs w:val="28"/>
                                  </w:rPr>
                                  <w:t xml:space="preserve">DEVELOPED </w:t>
                                </w:r>
                                <w:r>
                                  <w:rPr>
                                    <w:rFonts w:cstheme="minorHAnsi"/>
                                    <w:caps/>
                                    <w:color w:val="1F4E79" w:themeColor="accent5" w:themeShade="80"/>
                                    <w:sz w:val="28"/>
                                    <w:szCs w:val="28"/>
                                  </w:rPr>
                                  <w:t xml:space="preserve">BY </w:t>
                                </w:r>
                                <w:r w:rsidRPr="0002423A">
                                  <w:rPr>
                                    <w:rFonts w:cstheme="minorHAnsi"/>
                                    <w:caps/>
                                    <w:color w:val="1F4E79" w:themeColor="accent5" w:themeShade="80"/>
                                    <w:sz w:val="28"/>
                                    <w:szCs w:val="28"/>
                                  </w:rPr>
                                  <w:t>AUSTIN PUBLIC HEA</w:t>
                                </w:r>
                                <w:r>
                                  <w:rPr>
                                    <w:rFonts w:cstheme="minorHAnsi"/>
                                    <w:caps/>
                                    <w:color w:val="1F4E79" w:themeColor="accent5" w:themeShade="80"/>
                                    <w:sz w:val="28"/>
                                    <w:szCs w:val="28"/>
                                  </w:rPr>
                                  <w:t>LTH</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9491570" id="_x0000_t202" coordsize="21600,21600" o:spt="202" path="m,l,21600r21600,l21600,xe">
                <v:stroke joinstyle="miter"/>
                <v:path gradientshapeok="t" o:connecttype="rect"/>
              </v:shapetype>
              <v:shape id="Text Box 131" o:spid="_x0000_s1027" type="#_x0000_t202" style="position:absolute;margin-left:34.7pt;margin-top:180.4pt;width:369pt;height:529.2pt;z-index:251658240;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" filled="f" stroked="f" strokeweight=".5pt">
                <v:textbox style="mso-fit-shape-to-text:t" inset="0,0,0,0">
                  <w:txbxContent>
                    <w:p w14:paraId="7CC1AD54" w14:textId="35C3CA8C" w:rsidR="00652672" w:rsidRPr="005C289C" w:rsidRDefault="00FD6A19" w:rsidP="00652672">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C6CEA">
                            <w:rPr>
                              <w:color w:val="4472C4" w:themeColor="accent1"/>
                              <w:sz w:val="72"/>
                              <w:szCs w:val="72"/>
                            </w:rPr>
                            <w:t>Capital Area COVID-19 Vaccine Distribution Plan Companion</w:t>
                          </w:r>
                        </w:sdtContent>
                      </w:sdt>
                    </w:p>
                    <w:sdt>
                      <w:sdtPr>
                        <w:rPr>
                          <w:rFonts w:cstheme="minorHAnsi"/>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225E750" w14:textId="44316385" w:rsidR="00652672" w:rsidRPr="0002423A" w:rsidRDefault="00033BB6" w:rsidP="0002423A">
                          <w:pPr>
                            <w:pStyle w:val="NoSpacing"/>
                            <w:spacing w:before="40" w:after="40"/>
                            <w:rPr>
                              <w:rFonts w:cstheme="minorHAnsi"/>
                              <w:caps/>
                              <w:color w:val="1F4E79" w:themeColor="accent5" w:themeShade="80"/>
                              <w:sz w:val="28"/>
                              <w:szCs w:val="28"/>
                            </w:rPr>
                          </w:pPr>
                          <w:r w:rsidRPr="0002423A">
                            <w:rPr>
                              <w:rFonts w:cstheme="minorHAnsi"/>
                              <w:caps/>
                              <w:color w:val="1F4E79" w:themeColor="accent5" w:themeShade="80"/>
                              <w:sz w:val="28"/>
                              <w:szCs w:val="28"/>
                            </w:rPr>
                            <w:t xml:space="preserve">DEVELOPED </w:t>
                          </w:r>
                          <w:r>
                            <w:rPr>
                              <w:rFonts w:cstheme="minorHAnsi"/>
                              <w:caps/>
                              <w:color w:val="1F4E79" w:themeColor="accent5" w:themeShade="80"/>
                              <w:sz w:val="28"/>
                              <w:szCs w:val="28"/>
                            </w:rPr>
                            <w:t xml:space="preserve">BY </w:t>
                          </w:r>
                          <w:r w:rsidRPr="0002423A">
                            <w:rPr>
                              <w:rFonts w:cstheme="minorHAnsi"/>
                              <w:caps/>
                              <w:color w:val="1F4E79" w:themeColor="accent5" w:themeShade="80"/>
                              <w:sz w:val="28"/>
                              <w:szCs w:val="28"/>
                            </w:rPr>
                            <w:t>AUSTIN PUBLIC HEA</w:t>
                          </w:r>
                          <w:r>
                            <w:rPr>
                              <w:rFonts w:cstheme="minorHAnsi"/>
                              <w:caps/>
                              <w:color w:val="1F4E79" w:themeColor="accent5" w:themeShade="80"/>
                              <w:sz w:val="28"/>
                              <w:szCs w:val="28"/>
                            </w:rPr>
                            <w:t>LTH</w:t>
                          </w:r>
                        </w:p>
                      </w:sdtContent>
                    </w:sdt>
                  </w:txbxContent>
                </v:textbox>
                <w10:wrap type="square" anchorx="margin" anchory="page"/>
              </v:shape>
            </w:pict>
          </mc:Fallback>
        </mc:AlternateContent>
      </w:r>
    </w:p>
    <w:p w14:paraId="4CE41147" w14:textId="77777777" w:rsidR="0002423A" w:rsidRDefault="0002423A"/>
    <w:p w14:paraId="5F3B6A9D" w14:textId="77777777" w:rsidR="0002423A" w:rsidRDefault="0002423A"/>
    <w:p w14:paraId="1B02A9B5" w14:textId="77777777" w:rsidR="0002423A" w:rsidRDefault="0002423A"/>
    <w:p w14:paraId="26B20A7A" w14:textId="77777777" w:rsidR="0002423A" w:rsidRDefault="0002423A"/>
    <w:p w14:paraId="58F1403C" w14:textId="77777777" w:rsidR="0002423A" w:rsidRDefault="0002423A"/>
    <w:p w14:paraId="64EE1440" w14:textId="77777777" w:rsidR="0002423A" w:rsidRDefault="0002423A"/>
    <w:p w14:paraId="3ADF34CA" w14:textId="77777777" w:rsidR="0002423A" w:rsidRDefault="0002423A"/>
    <w:p w14:paraId="2E8798AF" w14:textId="77777777" w:rsidR="0002423A" w:rsidRDefault="0002423A"/>
    <w:p w14:paraId="4D50FB66" w14:textId="77777777" w:rsidR="0002423A" w:rsidRDefault="0002423A"/>
    <w:p w14:paraId="669F159C" w14:textId="77777777" w:rsidR="0002423A" w:rsidRDefault="0002423A"/>
    <w:p w14:paraId="0959563D" w14:textId="77777777" w:rsidR="0002423A" w:rsidRDefault="0002423A"/>
    <w:p w14:paraId="259E0DAC" w14:textId="77777777" w:rsidR="0002423A" w:rsidRDefault="0002423A"/>
    <w:p w14:paraId="1F47DA30" w14:textId="77777777" w:rsidR="0002423A" w:rsidRDefault="0002423A"/>
    <w:p w14:paraId="2B1BACF3" w14:textId="77777777" w:rsidR="0002423A" w:rsidRDefault="0002423A"/>
    <w:p w14:paraId="66E1CF46" w14:textId="77777777" w:rsidR="0002423A" w:rsidRDefault="0002423A"/>
    <w:p w14:paraId="5CDB8E36" w14:textId="6DDB6697" w:rsidR="0002423A" w:rsidRDefault="0002423A"/>
    <w:p w14:paraId="14FBAC37" w14:textId="160A691D" w:rsidR="0002423A" w:rsidRDefault="0002423A"/>
    <w:p w14:paraId="286F3AAE" w14:textId="4E2AE114" w:rsidR="0002423A" w:rsidRDefault="0002423A"/>
    <w:p w14:paraId="5E099B20" w14:textId="3190F2D1" w:rsidR="0002423A" w:rsidRDefault="0002423A"/>
    <w:p w14:paraId="20C00DC0" w14:textId="02DC3FB8" w:rsidR="0002423A" w:rsidRDefault="0002423A"/>
    <w:p w14:paraId="56851576" w14:textId="4A9542BC" w:rsidR="0002423A" w:rsidRDefault="0002423A"/>
    <w:p w14:paraId="5B2E023C" w14:textId="0F188CC5" w:rsidR="0002423A" w:rsidRDefault="0002423A"/>
    <w:p w14:paraId="3BDD144B" w14:textId="2B6059F6" w:rsidR="0002423A" w:rsidRDefault="0002423A"/>
    <w:sdt>
      <w:sdtPr>
        <w:rPr>
          <w:rFonts w:asciiTheme="minorHAnsi" w:eastAsiaTheme="minorHAnsi" w:hAnsiTheme="minorHAnsi" w:cstheme="minorBidi"/>
          <w:b w:val="0"/>
          <w:color w:val="auto"/>
          <w:sz w:val="22"/>
          <w:szCs w:val="22"/>
        </w:rPr>
        <w:id w:val="-2055837430"/>
        <w:docPartObj>
          <w:docPartGallery w:val="Table of Contents"/>
          <w:docPartUnique/>
        </w:docPartObj>
      </w:sdtPr>
      <w:sdtEndPr>
        <w:rPr>
          <w:bCs/>
          <w:noProof/>
        </w:rPr>
      </w:sdtEndPr>
      <w:sdtContent>
        <w:p w14:paraId="52BB5B43" w14:textId="77777777" w:rsidR="0021431C" w:rsidRDefault="0021431C" w:rsidP="0021431C">
          <w:pPr>
            <w:pStyle w:val="TOCHeading"/>
          </w:pPr>
          <w:r>
            <w:t>Table of Contents</w:t>
          </w:r>
        </w:p>
        <w:p w14:paraId="6BBC2772" w14:textId="34CB7036" w:rsidR="006425AE" w:rsidRDefault="0021431C">
          <w:pPr>
            <w:pStyle w:val="TOC1"/>
            <w:rPr>
              <w:rFonts w:eastAsiaTheme="minorEastAsia"/>
              <w:noProof/>
            </w:rPr>
          </w:pPr>
          <w:r>
            <w:fldChar w:fldCharType="begin"/>
          </w:r>
          <w:r>
            <w:instrText xml:space="preserve"> TOC \o "1-3" \h \z \u </w:instrText>
          </w:r>
          <w:r>
            <w:fldChar w:fldCharType="separate"/>
          </w:r>
          <w:hyperlink w:anchor="_Toc83281161" w:history="1">
            <w:r w:rsidR="006425AE" w:rsidRPr="00642FD3">
              <w:rPr>
                <w:rStyle w:val="Hyperlink"/>
                <w:noProof/>
              </w:rPr>
              <w:t>Record of Changes</w:t>
            </w:r>
            <w:r w:rsidR="006425AE">
              <w:rPr>
                <w:noProof/>
                <w:webHidden/>
              </w:rPr>
              <w:tab/>
            </w:r>
            <w:r w:rsidR="006425AE">
              <w:rPr>
                <w:noProof/>
                <w:webHidden/>
              </w:rPr>
              <w:fldChar w:fldCharType="begin"/>
            </w:r>
            <w:r w:rsidR="006425AE">
              <w:rPr>
                <w:noProof/>
                <w:webHidden/>
              </w:rPr>
              <w:instrText xml:space="preserve"> PAGEREF _Toc83281161 \h </w:instrText>
            </w:r>
            <w:r w:rsidR="006425AE">
              <w:rPr>
                <w:noProof/>
                <w:webHidden/>
              </w:rPr>
            </w:r>
            <w:r w:rsidR="006425AE">
              <w:rPr>
                <w:noProof/>
                <w:webHidden/>
              </w:rPr>
              <w:fldChar w:fldCharType="separate"/>
            </w:r>
            <w:r w:rsidR="006425AE">
              <w:rPr>
                <w:noProof/>
                <w:webHidden/>
              </w:rPr>
              <w:t>2</w:t>
            </w:r>
            <w:r w:rsidR="006425AE">
              <w:rPr>
                <w:noProof/>
                <w:webHidden/>
              </w:rPr>
              <w:fldChar w:fldCharType="end"/>
            </w:r>
          </w:hyperlink>
        </w:p>
        <w:p w14:paraId="2C42257E" w14:textId="0E2A6A11" w:rsidR="006425AE" w:rsidRDefault="00FD6A19">
          <w:pPr>
            <w:pStyle w:val="TOC1"/>
            <w:rPr>
              <w:rFonts w:eastAsiaTheme="minorEastAsia"/>
              <w:noProof/>
            </w:rPr>
          </w:pPr>
          <w:hyperlink w:anchor="_Toc83281162" w:history="1">
            <w:r w:rsidR="006425AE" w:rsidRPr="00642FD3">
              <w:rPr>
                <w:rStyle w:val="Hyperlink"/>
                <w:noProof/>
              </w:rPr>
              <w:t>Executive Summary</w:t>
            </w:r>
            <w:r w:rsidR="006425AE">
              <w:rPr>
                <w:noProof/>
                <w:webHidden/>
              </w:rPr>
              <w:tab/>
            </w:r>
            <w:r w:rsidR="006425AE">
              <w:rPr>
                <w:noProof/>
                <w:webHidden/>
              </w:rPr>
              <w:fldChar w:fldCharType="begin"/>
            </w:r>
            <w:r w:rsidR="006425AE">
              <w:rPr>
                <w:noProof/>
                <w:webHidden/>
              </w:rPr>
              <w:instrText xml:space="preserve"> PAGEREF _Toc83281162 \h </w:instrText>
            </w:r>
            <w:r w:rsidR="006425AE">
              <w:rPr>
                <w:noProof/>
                <w:webHidden/>
              </w:rPr>
            </w:r>
            <w:r w:rsidR="006425AE">
              <w:rPr>
                <w:noProof/>
                <w:webHidden/>
              </w:rPr>
              <w:fldChar w:fldCharType="separate"/>
            </w:r>
            <w:r w:rsidR="006425AE">
              <w:rPr>
                <w:noProof/>
                <w:webHidden/>
              </w:rPr>
              <w:t>3</w:t>
            </w:r>
            <w:r w:rsidR="006425AE">
              <w:rPr>
                <w:noProof/>
                <w:webHidden/>
              </w:rPr>
              <w:fldChar w:fldCharType="end"/>
            </w:r>
          </w:hyperlink>
        </w:p>
        <w:p w14:paraId="00A52DF7" w14:textId="5BDB2C58" w:rsidR="006425AE" w:rsidRDefault="00FD6A19">
          <w:pPr>
            <w:pStyle w:val="TOC1"/>
            <w:rPr>
              <w:rFonts w:eastAsiaTheme="minorEastAsia"/>
              <w:noProof/>
            </w:rPr>
          </w:pPr>
          <w:hyperlink w:anchor="_Toc83281163" w:history="1">
            <w:r w:rsidR="006425AE" w:rsidRPr="00642FD3">
              <w:rPr>
                <w:rStyle w:val="Hyperlink"/>
                <w:noProof/>
              </w:rPr>
              <w:t>Section 1: COVID-19 Vaccination Program Comprehensive Education and Outreach Campaign</w:t>
            </w:r>
            <w:r w:rsidR="006425AE">
              <w:rPr>
                <w:noProof/>
                <w:webHidden/>
              </w:rPr>
              <w:tab/>
            </w:r>
            <w:r w:rsidR="006425AE">
              <w:rPr>
                <w:noProof/>
                <w:webHidden/>
              </w:rPr>
              <w:fldChar w:fldCharType="begin"/>
            </w:r>
            <w:r w:rsidR="006425AE">
              <w:rPr>
                <w:noProof/>
                <w:webHidden/>
              </w:rPr>
              <w:instrText xml:space="preserve"> PAGEREF _Toc83281163 \h </w:instrText>
            </w:r>
            <w:r w:rsidR="006425AE">
              <w:rPr>
                <w:noProof/>
                <w:webHidden/>
              </w:rPr>
            </w:r>
            <w:r w:rsidR="006425AE">
              <w:rPr>
                <w:noProof/>
                <w:webHidden/>
              </w:rPr>
              <w:fldChar w:fldCharType="separate"/>
            </w:r>
            <w:r w:rsidR="006425AE">
              <w:rPr>
                <w:noProof/>
                <w:webHidden/>
              </w:rPr>
              <w:t>4</w:t>
            </w:r>
            <w:r w:rsidR="006425AE">
              <w:rPr>
                <w:noProof/>
                <w:webHidden/>
              </w:rPr>
              <w:fldChar w:fldCharType="end"/>
            </w:r>
          </w:hyperlink>
        </w:p>
        <w:p w14:paraId="5BE11261" w14:textId="2F55FBAD" w:rsidR="006425AE" w:rsidRDefault="00FD6A19">
          <w:pPr>
            <w:pStyle w:val="TOC1"/>
            <w:rPr>
              <w:rFonts w:eastAsiaTheme="minorEastAsia"/>
              <w:noProof/>
            </w:rPr>
          </w:pPr>
          <w:hyperlink w:anchor="_Toc83281164" w:history="1">
            <w:r w:rsidR="006425AE" w:rsidRPr="00642FD3">
              <w:rPr>
                <w:rStyle w:val="Hyperlink"/>
                <w:noProof/>
              </w:rPr>
              <w:t>Section 2: COVID-19 Vaccination Third-dose Administration, Scheduling, and Reminders</w:t>
            </w:r>
            <w:r w:rsidR="006425AE">
              <w:rPr>
                <w:noProof/>
                <w:webHidden/>
              </w:rPr>
              <w:tab/>
            </w:r>
            <w:r w:rsidR="006425AE">
              <w:rPr>
                <w:noProof/>
                <w:webHidden/>
              </w:rPr>
              <w:fldChar w:fldCharType="begin"/>
            </w:r>
            <w:r w:rsidR="006425AE">
              <w:rPr>
                <w:noProof/>
                <w:webHidden/>
              </w:rPr>
              <w:instrText xml:space="preserve"> PAGEREF _Toc83281164 \h </w:instrText>
            </w:r>
            <w:r w:rsidR="006425AE">
              <w:rPr>
                <w:noProof/>
                <w:webHidden/>
              </w:rPr>
            </w:r>
            <w:r w:rsidR="006425AE">
              <w:rPr>
                <w:noProof/>
                <w:webHidden/>
              </w:rPr>
              <w:fldChar w:fldCharType="separate"/>
            </w:r>
            <w:r w:rsidR="006425AE">
              <w:rPr>
                <w:noProof/>
                <w:webHidden/>
              </w:rPr>
              <w:t>6</w:t>
            </w:r>
            <w:r w:rsidR="006425AE">
              <w:rPr>
                <w:noProof/>
                <w:webHidden/>
              </w:rPr>
              <w:fldChar w:fldCharType="end"/>
            </w:r>
          </w:hyperlink>
        </w:p>
        <w:p w14:paraId="648AEF2D" w14:textId="76F0135E" w:rsidR="006425AE" w:rsidRDefault="00FD6A19">
          <w:pPr>
            <w:pStyle w:val="TOC1"/>
            <w:rPr>
              <w:rFonts w:eastAsiaTheme="minorEastAsia"/>
              <w:noProof/>
            </w:rPr>
          </w:pPr>
          <w:hyperlink w:anchor="_Toc83281165" w:history="1">
            <w:r w:rsidR="006425AE" w:rsidRPr="00642FD3">
              <w:rPr>
                <w:rStyle w:val="Hyperlink"/>
                <w:noProof/>
              </w:rPr>
              <w:t>Section 3: COVID-19 Vaccination in Pediatric Patients</w:t>
            </w:r>
            <w:r w:rsidR="006425AE">
              <w:rPr>
                <w:noProof/>
                <w:webHidden/>
              </w:rPr>
              <w:tab/>
            </w:r>
            <w:r w:rsidR="006425AE">
              <w:rPr>
                <w:noProof/>
                <w:webHidden/>
              </w:rPr>
              <w:fldChar w:fldCharType="begin"/>
            </w:r>
            <w:r w:rsidR="006425AE">
              <w:rPr>
                <w:noProof/>
                <w:webHidden/>
              </w:rPr>
              <w:instrText xml:space="preserve"> PAGEREF _Toc83281165 \h </w:instrText>
            </w:r>
            <w:r w:rsidR="006425AE">
              <w:rPr>
                <w:noProof/>
                <w:webHidden/>
              </w:rPr>
            </w:r>
            <w:r w:rsidR="006425AE">
              <w:rPr>
                <w:noProof/>
                <w:webHidden/>
              </w:rPr>
              <w:fldChar w:fldCharType="separate"/>
            </w:r>
            <w:r w:rsidR="006425AE">
              <w:rPr>
                <w:noProof/>
                <w:webHidden/>
              </w:rPr>
              <w:t>9</w:t>
            </w:r>
            <w:r w:rsidR="006425AE">
              <w:rPr>
                <w:noProof/>
                <w:webHidden/>
              </w:rPr>
              <w:fldChar w:fldCharType="end"/>
            </w:r>
          </w:hyperlink>
        </w:p>
        <w:p w14:paraId="693505AE" w14:textId="410671C8" w:rsidR="0021431C" w:rsidRDefault="0021431C" w:rsidP="0021431C">
          <w:pPr>
            <w:rPr>
              <w:bCs/>
              <w:noProof/>
            </w:rPr>
          </w:pPr>
          <w:r>
            <w:rPr>
              <w:b/>
            </w:rPr>
            <w:fldChar w:fldCharType="end"/>
          </w:r>
        </w:p>
      </w:sdtContent>
    </w:sdt>
    <w:p w14:paraId="2A680E9B" w14:textId="69FE46BC" w:rsidR="0042423D" w:rsidRDefault="0042423D"/>
    <w:p w14:paraId="217A4037" w14:textId="2A4FAF04" w:rsidR="0002423A" w:rsidRDefault="0042423D">
      <w:r>
        <w:br w:type="page"/>
      </w:r>
    </w:p>
    <w:p w14:paraId="1CA617D3" w14:textId="77777777" w:rsidR="003C1B5F" w:rsidRPr="00DF4528" w:rsidRDefault="003C1B5F" w:rsidP="003C1B5F">
      <w:pPr>
        <w:pStyle w:val="Heading1"/>
      </w:pPr>
      <w:bookmarkStart w:id="0" w:name="_Toc83281161"/>
      <w:r w:rsidRPr="00DF4528">
        <w:lastRenderedPageBreak/>
        <w:t>Record of Changes</w:t>
      </w:r>
      <w:bookmarkEnd w:id="0"/>
    </w:p>
    <w:tbl>
      <w:tblPr>
        <w:tblpPr w:leftFromText="180" w:rightFromText="180" w:horzAnchor="margin" w:tblpXSpec="center" w:tblpY="689"/>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4430"/>
        <w:gridCol w:w="2340"/>
        <w:gridCol w:w="2083"/>
      </w:tblGrid>
      <w:tr w:rsidR="00E27CC9" w:rsidRPr="00DF4528" w14:paraId="34516D08" w14:textId="77777777" w:rsidTr="006425AE">
        <w:tc>
          <w:tcPr>
            <w:tcW w:w="1312" w:type="dxa"/>
            <w:shd w:val="clear" w:color="auto" w:fill="323E4F" w:themeFill="text2" w:themeFillShade="BF"/>
          </w:tcPr>
          <w:p w14:paraId="4457C9B0" w14:textId="77777777" w:rsidR="00E27CC9" w:rsidRPr="00DF4528" w:rsidRDefault="00E27CC9" w:rsidP="00E53CB1">
            <w:pPr>
              <w:jc w:val="center"/>
              <w:rPr>
                <w:rFonts w:cs="Arial"/>
                <w:b/>
                <w:color w:val="FFFFFF"/>
              </w:rPr>
            </w:pPr>
            <w:r w:rsidRPr="00DF4528">
              <w:rPr>
                <w:rFonts w:cs="Arial"/>
                <w:b/>
                <w:color w:val="FFFFFF"/>
              </w:rPr>
              <w:t>Version Number</w:t>
            </w:r>
          </w:p>
        </w:tc>
        <w:tc>
          <w:tcPr>
            <w:tcW w:w="4430" w:type="dxa"/>
            <w:shd w:val="clear" w:color="auto" w:fill="323E4F" w:themeFill="text2" w:themeFillShade="BF"/>
          </w:tcPr>
          <w:p w14:paraId="76E14080" w14:textId="77777777" w:rsidR="00E27CC9" w:rsidRPr="00DF4528" w:rsidRDefault="00E27CC9" w:rsidP="00E53CB1">
            <w:pPr>
              <w:jc w:val="center"/>
              <w:rPr>
                <w:rFonts w:cs="Arial"/>
                <w:b/>
                <w:color w:val="FFFFFF"/>
              </w:rPr>
            </w:pPr>
            <w:r w:rsidRPr="00DF4528">
              <w:rPr>
                <w:rFonts w:cs="Arial"/>
                <w:b/>
                <w:color w:val="FFFFFF"/>
              </w:rPr>
              <w:t>Description of Change</w:t>
            </w:r>
          </w:p>
        </w:tc>
        <w:tc>
          <w:tcPr>
            <w:tcW w:w="2340" w:type="dxa"/>
            <w:shd w:val="clear" w:color="auto" w:fill="323E4F" w:themeFill="text2" w:themeFillShade="BF"/>
          </w:tcPr>
          <w:p w14:paraId="3A745561" w14:textId="77777777" w:rsidR="00E27CC9" w:rsidRPr="00DF4528" w:rsidRDefault="00E27CC9" w:rsidP="00E53CB1">
            <w:pPr>
              <w:jc w:val="center"/>
              <w:rPr>
                <w:rFonts w:cs="Arial"/>
                <w:b/>
                <w:color w:val="FFFFFF"/>
              </w:rPr>
            </w:pPr>
            <w:r w:rsidRPr="00DF4528">
              <w:rPr>
                <w:rFonts w:cs="Arial"/>
                <w:b/>
                <w:color w:val="FFFFFF"/>
              </w:rPr>
              <w:t>Person Responsible</w:t>
            </w:r>
          </w:p>
        </w:tc>
        <w:tc>
          <w:tcPr>
            <w:tcW w:w="2083" w:type="dxa"/>
            <w:shd w:val="clear" w:color="auto" w:fill="323E4F" w:themeFill="text2" w:themeFillShade="BF"/>
          </w:tcPr>
          <w:p w14:paraId="1BFC2CDA" w14:textId="77777777" w:rsidR="00E27CC9" w:rsidRPr="00DF4528" w:rsidRDefault="00E27CC9" w:rsidP="00E53CB1">
            <w:pPr>
              <w:jc w:val="center"/>
              <w:rPr>
                <w:rFonts w:cs="Arial"/>
                <w:b/>
                <w:color w:val="FFFFFF"/>
              </w:rPr>
            </w:pPr>
            <w:r w:rsidRPr="00DF4528">
              <w:rPr>
                <w:rFonts w:cs="Arial"/>
                <w:b/>
                <w:color w:val="FFFFFF"/>
              </w:rPr>
              <w:t xml:space="preserve">Date </w:t>
            </w:r>
          </w:p>
        </w:tc>
      </w:tr>
      <w:tr w:rsidR="00E27CC9" w:rsidRPr="00DF4528" w14:paraId="22093E52" w14:textId="77777777" w:rsidTr="006425AE">
        <w:tc>
          <w:tcPr>
            <w:tcW w:w="1312" w:type="dxa"/>
            <w:shd w:val="clear" w:color="auto" w:fill="auto"/>
          </w:tcPr>
          <w:p w14:paraId="32D08A79" w14:textId="77777777" w:rsidR="00E27CC9" w:rsidRPr="00DF4528" w:rsidRDefault="00E27CC9" w:rsidP="00E53CB1">
            <w:pPr>
              <w:jc w:val="center"/>
              <w:rPr>
                <w:rFonts w:cs="Arial"/>
              </w:rPr>
            </w:pPr>
            <w:r>
              <w:rPr>
                <w:rFonts w:cs="Arial"/>
              </w:rPr>
              <w:t>1.0</w:t>
            </w:r>
          </w:p>
        </w:tc>
        <w:tc>
          <w:tcPr>
            <w:tcW w:w="4430" w:type="dxa"/>
            <w:shd w:val="clear" w:color="auto" w:fill="auto"/>
          </w:tcPr>
          <w:p w14:paraId="055D1123" w14:textId="0EE65644" w:rsidR="00E27CC9" w:rsidRPr="00DF4528" w:rsidRDefault="00E27CC9" w:rsidP="00E53CB1">
            <w:pPr>
              <w:pStyle w:val="PlainText"/>
              <w:rPr>
                <w:rFonts w:ascii="Arial" w:hAnsi="Arial" w:cs="Arial"/>
              </w:rPr>
            </w:pPr>
            <w:r>
              <w:rPr>
                <w:rFonts w:ascii="Arial" w:hAnsi="Arial" w:cs="Arial"/>
              </w:rPr>
              <w:t>Development of Strategy Companion</w:t>
            </w:r>
          </w:p>
        </w:tc>
        <w:tc>
          <w:tcPr>
            <w:tcW w:w="2340" w:type="dxa"/>
          </w:tcPr>
          <w:p w14:paraId="5E6722A3" w14:textId="77777777" w:rsidR="00E27CC9" w:rsidRPr="00DF4528" w:rsidRDefault="00E27CC9" w:rsidP="00E53CB1">
            <w:pPr>
              <w:rPr>
                <w:rFonts w:cs="Arial"/>
              </w:rPr>
            </w:pPr>
            <w:r>
              <w:rPr>
                <w:rFonts w:cs="Arial"/>
              </w:rPr>
              <w:t>Austin Public Health</w:t>
            </w:r>
          </w:p>
        </w:tc>
        <w:tc>
          <w:tcPr>
            <w:tcW w:w="2083" w:type="dxa"/>
          </w:tcPr>
          <w:p w14:paraId="35A8A686" w14:textId="61E25842" w:rsidR="00E27CC9" w:rsidRPr="00DF4528" w:rsidRDefault="00E27CC9" w:rsidP="00E53CB1">
            <w:pPr>
              <w:rPr>
                <w:rFonts w:cs="Arial"/>
              </w:rPr>
            </w:pPr>
            <w:r>
              <w:rPr>
                <w:rFonts w:cs="Arial"/>
              </w:rPr>
              <w:t>September 23, 202</w:t>
            </w:r>
            <w:r w:rsidR="006425AE">
              <w:rPr>
                <w:rFonts w:cs="Arial"/>
              </w:rPr>
              <w:t>1</w:t>
            </w:r>
          </w:p>
        </w:tc>
      </w:tr>
      <w:tr w:rsidR="00E27CC9" w:rsidRPr="00DF4528" w14:paraId="5956EDE3" w14:textId="77777777" w:rsidTr="006425AE">
        <w:tc>
          <w:tcPr>
            <w:tcW w:w="1312" w:type="dxa"/>
            <w:shd w:val="clear" w:color="auto" w:fill="auto"/>
          </w:tcPr>
          <w:p w14:paraId="57A888E2" w14:textId="36386099" w:rsidR="00E27CC9" w:rsidRPr="007C50E8" w:rsidRDefault="00E27CC9" w:rsidP="00E53CB1">
            <w:pPr>
              <w:jc w:val="center"/>
              <w:rPr>
                <w:rFonts w:cs="Arial"/>
              </w:rPr>
            </w:pPr>
          </w:p>
        </w:tc>
        <w:tc>
          <w:tcPr>
            <w:tcW w:w="4430" w:type="dxa"/>
            <w:shd w:val="clear" w:color="auto" w:fill="auto"/>
          </w:tcPr>
          <w:p w14:paraId="77982FAC" w14:textId="74428013" w:rsidR="00E27CC9" w:rsidRPr="007C50E8" w:rsidRDefault="00E27CC9" w:rsidP="00E53CB1">
            <w:pPr>
              <w:pStyle w:val="PlainText"/>
              <w:rPr>
                <w:rFonts w:ascii="Arial" w:hAnsi="Arial" w:cs="Arial"/>
                <w:szCs w:val="22"/>
              </w:rPr>
            </w:pPr>
          </w:p>
        </w:tc>
        <w:tc>
          <w:tcPr>
            <w:tcW w:w="2340" w:type="dxa"/>
          </w:tcPr>
          <w:p w14:paraId="2469D711" w14:textId="48B5747B" w:rsidR="00E27CC9" w:rsidRPr="000C4FA2" w:rsidRDefault="00E27CC9" w:rsidP="00E53CB1">
            <w:pPr>
              <w:rPr>
                <w:rFonts w:cs="Arial"/>
              </w:rPr>
            </w:pPr>
          </w:p>
        </w:tc>
        <w:tc>
          <w:tcPr>
            <w:tcW w:w="2083" w:type="dxa"/>
          </w:tcPr>
          <w:p w14:paraId="0B6C6B24" w14:textId="289DCC5B" w:rsidR="00E27CC9" w:rsidRPr="000C4FA2" w:rsidRDefault="00E27CC9" w:rsidP="00E53CB1">
            <w:pPr>
              <w:rPr>
                <w:rFonts w:cs="Arial"/>
              </w:rPr>
            </w:pPr>
          </w:p>
        </w:tc>
      </w:tr>
      <w:tr w:rsidR="00E27CC9" w:rsidRPr="00DF4528" w14:paraId="45A7B489" w14:textId="77777777" w:rsidTr="006425AE">
        <w:tc>
          <w:tcPr>
            <w:tcW w:w="1312" w:type="dxa"/>
            <w:shd w:val="clear" w:color="auto" w:fill="auto"/>
          </w:tcPr>
          <w:p w14:paraId="76F104F0" w14:textId="77777777" w:rsidR="00E27CC9" w:rsidRPr="00822F47" w:rsidRDefault="00E27CC9" w:rsidP="00E53CB1">
            <w:pPr>
              <w:jc w:val="center"/>
              <w:rPr>
                <w:rFonts w:cs="Arial"/>
                <w:sz w:val="16"/>
                <w:szCs w:val="16"/>
              </w:rPr>
            </w:pPr>
          </w:p>
        </w:tc>
        <w:tc>
          <w:tcPr>
            <w:tcW w:w="4430" w:type="dxa"/>
            <w:shd w:val="clear" w:color="auto" w:fill="auto"/>
          </w:tcPr>
          <w:p w14:paraId="17576579" w14:textId="77777777" w:rsidR="00E27CC9" w:rsidRPr="00822F47" w:rsidRDefault="00E27CC9" w:rsidP="00E53CB1">
            <w:pPr>
              <w:pStyle w:val="PlainText"/>
              <w:rPr>
                <w:rFonts w:ascii="Arial" w:hAnsi="Arial" w:cs="Arial"/>
                <w:sz w:val="16"/>
                <w:szCs w:val="16"/>
              </w:rPr>
            </w:pPr>
          </w:p>
        </w:tc>
        <w:tc>
          <w:tcPr>
            <w:tcW w:w="2340" w:type="dxa"/>
          </w:tcPr>
          <w:p w14:paraId="0EDC9738" w14:textId="77777777" w:rsidR="00E27CC9" w:rsidRPr="00822F47" w:rsidRDefault="00E27CC9" w:rsidP="00E53CB1">
            <w:pPr>
              <w:rPr>
                <w:rFonts w:cs="Arial"/>
                <w:sz w:val="16"/>
                <w:szCs w:val="16"/>
              </w:rPr>
            </w:pPr>
          </w:p>
        </w:tc>
        <w:tc>
          <w:tcPr>
            <w:tcW w:w="2083" w:type="dxa"/>
          </w:tcPr>
          <w:p w14:paraId="3FA20507" w14:textId="77777777" w:rsidR="00E27CC9" w:rsidRPr="00822F47" w:rsidRDefault="00E27CC9" w:rsidP="00E53CB1">
            <w:pPr>
              <w:rPr>
                <w:rFonts w:cs="Arial"/>
                <w:sz w:val="16"/>
                <w:szCs w:val="16"/>
              </w:rPr>
            </w:pPr>
          </w:p>
        </w:tc>
      </w:tr>
      <w:tr w:rsidR="00E27CC9" w:rsidRPr="00DF4528" w14:paraId="4BBAC45C" w14:textId="77777777" w:rsidTr="006425AE">
        <w:tc>
          <w:tcPr>
            <w:tcW w:w="1312" w:type="dxa"/>
            <w:shd w:val="clear" w:color="auto" w:fill="auto"/>
          </w:tcPr>
          <w:p w14:paraId="4DC5C130" w14:textId="77777777" w:rsidR="00E27CC9" w:rsidRPr="00822F47" w:rsidRDefault="00E27CC9" w:rsidP="00E53CB1">
            <w:pPr>
              <w:jc w:val="center"/>
              <w:rPr>
                <w:rFonts w:cs="Arial"/>
                <w:sz w:val="16"/>
                <w:szCs w:val="16"/>
              </w:rPr>
            </w:pPr>
          </w:p>
        </w:tc>
        <w:tc>
          <w:tcPr>
            <w:tcW w:w="4430" w:type="dxa"/>
            <w:shd w:val="clear" w:color="auto" w:fill="auto"/>
          </w:tcPr>
          <w:p w14:paraId="36912AFA" w14:textId="77777777" w:rsidR="00E27CC9" w:rsidRPr="00822F47" w:rsidRDefault="00E27CC9" w:rsidP="00E53CB1">
            <w:pPr>
              <w:pStyle w:val="PlainText"/>
              <w:rPr>
                <w:rFonts w:ascii="Arial" w:hAnsi="Arial" w:cs="Arial"/>
                <w:sz w:val="16"/>
                <w:szCs w:val="16"/>
              </w:rPr>
            </w:pPr>
          </w:p>
        </w:tc>
        <w:tc>
          <w:tcPr>
            <w:tcW w:w="2340" w:type="dxa"/>
          </w:tcPr>
          <w:p w14:paraId="7A2A78CE" w14:textId="77777777" w:rsidR="00E27CC9" w:rsidRPr="00822F47" w:rsidRDefault="00E27CC9" w:rsidP="00E53CB1">
            <w:pPr>
              <w:rPr>
                <w:rFonts w:cs="Arial"/>
                <w:sz w:val="16"/>
                <w:szCs w:val="16"/>
              </w:rPr>
            </w:pPr>
          </w:p>
        </w:tc>
        <w:tc>
          <w:tcPr>
            <w:tcW w:w="2083" w:type="dxa"/>
          </w:tcPr>
          <w:p w14:paraId="4A697BAF" w14:textId="77777777" w:rsidR="00E27CC9" w:rsidRPr="00822F47" w:rsidRDefault="00E27CC9" w:rsidP="00E53CB1">
            <w:pPr>
              <w:rPr>
                <w:rFonts w:cs="Arial"/>
                <w:sz w:val="16"/>
                <w:szCs w:val="16"/>
              </w:rPr>
            </w:pPr>
          </w:p>
        </w:tc>
      </w:tr>
      <w:tr w:rsidR="00E27CC9" w:rsidRPr="00DF4528" w14:paraId="087C5473" w14:textId="77777777" w:rsidTr="006425AE">
        <w:tc>
          <w:tcPr>
            <w:tcW w:w="1312" w:type="dxa"/>
            <w:shd w:val="clear" w:color="auto" w:fill="auto"/>
          </w:tcPr>
          <w:p w14:paraId="570BEAD1" w14:textId="77777777" w:rsidR="00E27CC9" w:rsidRPr="00822F47" w:rsidRDefault="00E27CC9" w:rsidP="00E53CB1">
            <w:pPr>
              <w:jc w:val="center"/>
              <w:rPr>
                <w:rFonts w:cs="Arial"/>
                <w:sz w:val="16"/>
                <w:szCs w:val="16"/>
              </w:rPr>
            </w:pPr>
          </w:p>
        </w:tc>
        <w:tc>
          <w:tcPr>
            <w:tcW w:w="4430" w:type="dxa"/>
            <w:shd w:val="clear" w:color="auto" w:fill="auto"/>
          </w:tcPr>
          <w:p w14:paraId="7F3C3541" w14:textId="77777777" w:rsidR="00E27CC9" w:rsidRPr="00822F47" w:rsidRDefault="00E27CC9" w:rsidP="00E53CB1">
            <w:pPr>
              <w:pStyle w:val="PlainText"/>
              <w:rPr>
                <w:rFonts w:ascii="Arial" w:hAnsi="Arial" w:cs="Arial"/>
                <w:sz w:val="16"/>
                <w:szCs w:val="16"/>
              </w:rPr>
            </w:pPr>
          </w:p>
        </w:tc>
        <w:tc>
          <w:tcPr>
            <w:tcW w:w="2340" w:type="dxa"/>
          </w:tcPr>
          <w:p w14:paraId="43D3FCF1" w14:textId="77777777" w:rsidR="00E27CC9" w:rsidRPr="00822F47" w:rsidRDefault="00E27CC9" w:rsidP="00E53CB1">
            <w:pPr>
              <w:rPr>
                <w:rFonts w:cs="Arial"/>
                <w:sz w:val="16"/>
                <w:szCs w:val="16"/>
              </w:rPr>
            </w:pPr>
          </w:p>
        </w:tc>
        <w:tc>
          <w:tcPr>
            <w:tcW w:w="2083" w:type="dxa"/>
          </w:tcPr>
          <w:p w14:paraId="369B8CFB" w14:textId="77777777" w:rsidR="00E27CC9" w:rsidRPr="00822F47" w:rsidRDefault="00E27CC9" w:rsidP="00E53CB1">
            <w:pPr>
              <w:rPr>
                <w:rFonts w:cs="Arial"/>
                <w:sz w:val="16"/>
                <w:szCs w:val="16"/>
              </w:rPr>
            </w:pPr>
          </w:p>
        </w:tc>
      </w:tr>
      <w:tr w:rsidR="00E27CC9" w:rsidRPr="00DF4528" w14:paraId="591830C8" w14:textId="77777777" w:rsidTr="006425AE">
        <w:tc>
          <w:tcPr>
            <w:tcW w:w="1312" w:type="dxa"/>
            <w:shd w:val="clear" w:color="auto" w:fill="auto"/>
          </w:tcPr>
          <w:p w14:paraId="24C07C65" w14:textId="77777777" w:rsidR="00E27CC9" w:rsidRPr="00822F47" w:rsidRDefault="00E27CC9" w:rsidP="00E53CB1">
            <w:pPr>
              <w:jc w:val="center"/>
              <w:rPr>
                <w:rFonts w:cs="Arial"/>
                <w:sz w:val="16"/>
                <w:szCs w:val="16"/>
              </w:rPr>
            </w:pPr>
          </w:p>
        </w:tc>
        <w:tc>
          <w:tcPr>
            <w:tcW w:w="4430" w:type="dxa"/>
            <w:shd w:val="clear" w:color="auto" w:fill="auto"/>
          </w:tcPr>
          <w:p w14:paraId="07710683" w14:textId="77777777" w:rsidR="00E27CC9" w:rsidRPr="00822F47" w:rsidRDefault="00E27CC9" w:rsidP="00E53CB1">
            <w:pPr>
              <w:pStyle w:val="PlainText"/>
              <w:rPr>
                <w:rFonts w:ascii="Arial" w:hAnsi="Arial" w:cs="Arial"/>
                <w:sz w:val="16"/>
                <w:szCs w:val="16"/>
              </w:rPr>
            </w:pPr>
          </w:p>
        </w:tc>
        <w:tc>
          <w:tcPr>
            <w:tcW w:w="2340" w:type="dxa"/>
          </w:tcPr>
          <w:p w14:paraId="16137E93" w14:textId="77777777" w:rsidR="00E27CC9" w:rsidRPr="00822F47" w:rsidRDefault="00E27CC9" w:rsidP="00E53CB1">
            <w:pPr>
              <w:rPr>
                <w:rFonts w:cs="Arial"/>
                <w:sz w:val="16"/>
                <w:szCs w:val="16"/>
              </w:rPr>
            </w:pPr>
          </w:p>
        </w:tc>
        <w:tc>
          <w:tcPr>
            <w:tcW w:w="2083" w:type="dxa"/>
          </w:tcPr>
          <w:p w14:paraId="04EB7C9C" w14:textId="77777777" w:rsidR="00E27CC9" w:rsidRPr="00822F47" w:rsidRDefault="00E27CC9" w:rsidP="00E53CB1">
            <w:pPr>
              <w:rPr>
                <w:rFonts w:cs="Arial"/>
                <w:sz w:val="16"/>
                <w:szCs w:val="16"/>
              </w:rPr>
            </w:pPr>
          </w:p>
        </w:tc>
      </w:tr>
      <w:tr w:rsidR="00E27CC9" w:rsidRPr="00DF4528" w14:paraId="58D56528" w14:textId="77777777" w:rsidTr="006425AE">
        <w:tc>
          <w:tcPr>
            <w:tcW w:w="1312" w:type="dxa"/>
            <w:shd w:val="clear" w:color="auto" w:fill="auto"/>
          </w:tcPr>
          <w:p w14:paraId="101446C5" w14:textId="77777777" w:rsidR="00E27CC9" w:rsidRPr="00822F47" w:rsidRDefault="00E27CC9" w:rsidP="00E53CB1">
            <w:pPr>
              <w:jc w:val="center"/>
              <w:rPr>
                <w:rFonts w:cs="Arial"/>
                <w:sz w:val="16"/>
                <w:szCs w:val="16"/>
              </w:rPr>
            </w:pPr>
          </w:p>
        </w:tc>
        <w:tc>
          <w:tcPr>
            <w:tcW w:w="4430" w:type="dxa"/>
            <w:shd w:val="clear" w:color="auto" w:fill="auto"/>
          </w:tcPr>
          <w:p w14:paraId="74EBAC6F" w14:textId="77777777" w:rsidR="00E27CC9" w:rsidRPr="00822F47" w:rsidRDefault="00E27CC9" w:rsidP="00E53CB1">
            <w:pPr>
              <w:pStyle w:val="PlainText"/>
              <w:rPr>
                <w:rFonts w:ascii="Arial" w:hAnsi="Arial" w:cs="Arial"/>
                <w:sz w:val="16"/>
                <w:szCs w:val="16"/>
              </w:rPr>
            </w:pPr>
          </w:p>
        </w:tc>
        <w:tc>
          <w:tcPr>
            <w:tcW w:w="2340" w:type="dxa"/>
          </w:tcPr>
          <w:p w14:paraId="1043195C" w14:textId="77777777" w:rsidR="00E27CC9" w:rsidRPr="00822F47" w:rsidRDefault="00E27CC9" w:rsidP="00E53CB1">
            <w:pPr>
              <w:rPr>
                <w:rFonts w:cs="Arial"/>
                <w:sz w:val="16"/>
                <w:szCs w:val="16"/>
              </w:rPr>
            </w:pPr>
          </w:p>
        </w:tc>
        <w:tc>
          <w:tcPr>
            <w:tcW w:w="2083" w:type="dxa"/>
          </w:tcPr>
          <w:p w14:paraId="79309BC9" w14:textId="77777777" w:rsidR="00E27CC9" w:rsidRPr="00822F47" w:rsidRDefault="00E27CC9" w:rsidP="00E53CB1">
            <w:pPr>
              <w:rPr>
                <w:rFonts w:cs="Arial"/>
                <w:sz w:val="16"/>
                <w:szCs w:val="16"/>
              </w:rPr>
            </w:pPr>
          </w:p>
        </w:tc>
      </w:tr>
      <w:tr w:rsidR="00E27CC9" w:rsidRPr="00DF4528" w14:paraId="108EEAD6" w14:textId="77777777" w:rsidTr="006425AE">
        <w:tc>
          <w:tcPr>
            <w:tcW w:w="1312" w:type="dxa"/>
            <w:shd w:val="clear" w:color="auto" w:fill="auto"/>
          </w:tcPr>
          <w:p w14:paraId="0D96822E" w14:textId="77777777" w:rsidR="00E27CC9" w:rsidRPr="00822F47" w:rsidRDefault="00E27CC9" w:rsidP="00E53CB1">
            <w:pPr>
              <w:jc w:val="center"/>
              <w:rPr>
                <w:rFonts w:cs="Arial"/>
                <w:sz w:val="16"/>
                <w:szCs w:val="16"/>
              </w:rPr>
            </w:pPr>
          </w:p>
        </w:tc>
        <w:tc>
          <w:tcPr>
            <w:tcW w:w="4430" w:type="dxa"/>
            <w:shd w:val="clear" w:color="auto" w:fill="auto"/>
          </w:tcPr>
          <w:p w14:paraId="620CDF99" w14:textId="77777777" w:rsidR="00E27CC9" w:rsidRPr="00822F47" w:rsidRDefault="00E27CC9" w:rsidP="00E53CB1">
            <w:pPr>
              <w:pStyle w:val="PlainText"/>
              <w:rPr>
                <w:rFonts w:ascii="Arial" w:hAnsi="Arial" w:cs="Arial"/>
                <w:sz w:val="16"/>
                <w:szCs w:val="16"/>
              </w:rPr>
            </w:pPr>
          </w:p>
        </w:tc>
        <w:tc>
          <w:tcPr>
            <w:tcW w:w="2340" w:type="dxa"/>
          </w:tcPr>
          <w:p w14:paraId="22EAD5F6" w14:textId="77777777" w:rsidR="00E27CC9" w:rsidRPr="00822F47" w:rsidRDefault="00E27CC9" w:rsidP="00E53CB1">
            <w:pPr>
              <w:rPr>
                <w:rFonts w:cs="Arial"/>
                <w:sz w:val="16"/>
                <w:szCs w:val="16"/>
              </w:rPr>
            </w:pPr>
          </w:p>
        </w:tc>
        <w:tc>
          <w:tcPr>
            <w:tcW w:w="2083" w:type="dxa"/>
          </w:tcPr>
          <w:p w14:paraId="261F0EFE" w14:textId="77777777" w:rsidR="00E27CC9" w:rsidRPr="00822F47" w:rsidRDefault="00E27CC9" w:rsidP="00E53CB1">
            <w:pPr>
              <w:rPr>
                <w:rFonts w:cs="Arial"/>
                <w:sz w:val="16"/>
                <w:szCs w:val="16"/>
              </w:rPr>
            </w:pPr>
          </w:p>
        </w:tc>
      </w:tr>
      <w:tr w:rsidR="00E27CC9" w:rsidRPr="00DF4528" w14:paraId="5518226C" w14:textId="77777777" w:rsidTr="006425AE">
        <w:tc>
          <w:tcPr>
            <w:tcW w:w="1312" w:type="dxa"/>
            <w:shd w:val="clear" w:color="auto" w:fill="auto"/>
          </w:tcPr>
          <w:p w14:paraId="55D3CEEF" w14:textId="77777777" w:rsidR="00E27CC9" w:rsidRPr="00822F47" w:rsidRDefault="00E27CC9" w:rsidP="00E53CB1">
            <w:pPr>
              <w:jc w:val="center"/>
              <w:rPr>
                <w:rFonts w:cs="Arial"/>
                <w:sz w:val="16"/>
                <w:szCs w:val="16"/>
              </w:rPr>
            </w:pPr>
          </w:p>
        </w:tc>
        <w:tc>
          <w:tcPr>
            <w:tcW w:w="4430" w:type="dxa"/>
            <w:shd w:val="clear" w:color="auto" w:fill="auto"/>
          </w:tcPr>
          <w:p w14:paraId="39B693B2" w14:textId="77777777" w:rsidR="00E27CC9" w:rsidRPr="00822F47" w:rsidRDefault="00E27CC9" w:rsidP="00E53CB1">
            <w:pPr>
              <w:pStyle w:val="PlainText"/>
              <w:rPr>
                <w:rFonts w:ascii="Arial" w:hAnsi="Arial" w:cs="Arial"/>
                <w:sz w:val="16"/>
                <w:szCs w:val="16"/>
              </w:rPr>
            </w:pPr>
          </w:p>
        </w:tc>
        <w:tc>
          <w:tcPr>
            <w:tcW w:w="2340" w:type="dxa"/>
          </w:tcPr>
          <w:p w14:paraId="2C4CEA95" w14:textId="77777777" w:rsidR="00E27CC9" w:rsidRPr="00822F47" w:rsidRDefault="00E27CC9" w:rsidP="00E53CB1">
            <w:pPr>
              <w:rPr>
                <w:rFonts w:cs="Arial"/>
                <w:sz w:val="16"/>
                <w:szCs w:val="16"/>
              </w:rPr>
            </w:pPr>
          </w:p>
        </w:tc>
        <w:tc>
          <w:tcPr>
            <w:tcW w:w="2083" w:type="dxa"/>
          </w:tcPr>
          <w:p w14:paraId="1DD02495" w14:textId="77777777" w:rsidR="00E27CC9" w:rsidRPr="00822F47" w:rsidRDefault="00E27CC9" w:rsidP="00E53CB1">
            <w:pPr>
              <w:rPr>
                <w:rFonts w:cs="Arial"/>
                <w:sz w:val="16"/>
                <w:szCs w:val="16"/>
              </w:rPr>
            </w:pPr>
          </w:p>
        </w:tc>
      </w:tr>
      <w:tr w:rsidR="00E27CC9" w:rsidRPr="00DF4528" w14:paraId="33A71FFD" w14:textId="77777777" w:rsidTr="006425AE">
        <w:tc>
          <w:tcPr>
            <w:tcW w:w="1312" w:type="dxa"/>
            <w:shd w:val="clear" w:color="auto" w:fill="auto"/>
          </w:tcPr>
          <w:p w14:paraId="19ED6F37" w14:textId="77777777" w:rsidR="00E27CC9" w:rsidRPr="00822F47" w:rsidRDefault="00E27CC9" w:rsidP="00E53CB1">
            <w:pPr>
              <w:jc w:val="center"/>
              <w:rPr>
                <w:rFonts w:cs="Arial"/>
                <w:sz w:val="16"/>
                <w:szCs w:val="16"/>
              </w:rPr>
            </w:pPr>
          </w:p>
        </w:tc>
        <w:tc>
          <w:tcPr>
            <w:tcW w:w="4430" w:type="dxa"/>
            <w:shd w:val="clear" w:color="auto" w:fill="auto"/>
          </w:tcPr>
          <w:p w14:paraId="44D04CA0" w14:textId="77777777" w:rsidR="00E27CC9" w:rsidRPr="00822F47" w:rsidRDefault="00E27CC9" w:rsidP="00E53CB1">
            <w:pPr>
              <w:pStyle w:val="PlainText"/>
              <w:rPr>
                <w:rFonts w:ascii="Arial" w:hAnsi="Arial" w:cs="Arial"/>
                <w:sz w:val="16"/>
                <w:szCs w:val="16"/>
              </w:rPr>
            </w:pPr>
          </w:p>
        </w:tc>
        <w:tc>
          <w:tcPr>
            <w:tcW w:w="2340" w:type="dxa"/>
          </w:tcPr>
          <w:p w14:paraId="06186015" w14:textId="77777777" w:rsidR="00E27CC9" w:rsidRPr="00822F47" w:rsidRDefault="00E27CC9" w:rsidP="00E53CB1">
            <w:pPr>
              <w:rPr>
                <w:rFonts w:cs="Arial"/>
                <w:sz w:val="16"/>
                <w:szCs w:val="16"/>
              </w:rPr>
            </w:pPr>
          </w:p>
        </w:tc>
        <w:tc>
          <w:tcPr>
            <w:tcW w:w="2083" w:type="dxa"/>
          </w:tcPr>
          <w:p w14:paraId="702AC3D1" w14:textId="77777777" w:rsidR="00E27CC9" w:rsidRPr="00822F47" w:rsidRDefault="00E27CC9" w:rsidP="00E53CB1">
            <w:pPr>
              <w:rPr>
                <w:rFonts w:cs="Arial"/>
                <w:sz w:val="16"/>
                <w:szCs w:val="16"/>
              </w:rPr>
            </w:pPr>
          </w:p>
        </w:tc>
      </w:tr>
      <w:tr w:rsidR="00E27CC9" w:rsidRPr="00DF4528" w14:paraId="4CA43957" w14:textId="77777777" w:rsidTr="006425AE">
        <w:tc>
          <w:tcPr>
            <w:tcW w:w="1312" w:type="dxa"/>
            <w:shd w:val="clear" w:color="auto" w:fill="auto"/>
          </w:tcPr>
          <w:p w14:paraId="2D82F884" w14:textId="77777777" w:rsidR="00E27CC9" w:rsidRPr="00822F47" w:rsidRDefault="00E27CC9" w:rsidP="00E53CB1">
            <w:pPr>
              <w:jc w:val="center"/>
              <w:rPr>
                <w:rFonts w:cs="Arial"/>
                <w:sz w:val="16"/>
                <w:szCs w:val="16"/>
              </w:rPr>
            </w:pPr>
          </w:p>
        </w:tc>
        <w:tc>
          <w:tcPr>
            <w:tcW w:w="4430" w:type="dxa"/>
            <w:shd w:val="clear" w:color="auto" w:fill="auto"/>
          </w:tcPr>
          <w:p w14:paraId="14849DFF" w14:textId="77777777" w:rsidR="00E27CC9" w:rsidRPr="00822F47" w:rsidRDefault="00E27CC9" w:rsidP="00E53CB1">
            <w:pPr>
              <w:pStyle w:val="PlainText"/>
              <w:rPr>
                <w:rFonts w:ascii="Arial" w:hAnsi="Arial" w:cs="Arial"/>
                <w:sz w:val="16"/>
                <w:szCs w:val="16"/>
              </w:rPr>
            </w:pPr>
          </w:p>
        </w:tc>
        <w:tc>
          <w:tcPr>
            <w:tcW w:w="2340" w:type="dxa"/>
          </w:tcPr>
          <w:p w14:paraId="3EAE0266" w14:textId="77777777" w:rsidR="00E27CC9" w:rsidRPr="00822F47" w:rsidRDefault="00E27CC9" w:rsidP="00E53CB1">
            <w:pPr>
              <w:rPr>
                <w:rFonts w:cs="Arial"/>
                <w:sz w:val="16"/>
                <w:szCs w:val="16"/>
              </w:rPr>
            </w:pPr>
          </w:p>
        </w:tc>
        <w:tc>
          <w:tcPr>
            <w:tcW w:w="2083" w:type="dxa"/>
          </w:tcPr>
          <w:p w14:paraId="349ED6D3" w14:textId="77777777" w:rsidR="00E27CC9" w:rsidRPr="00822F47" w:rsidRDefault="00E27CC9" w:rsidP="00E53CB1">
            <w:pPr>
              <w:rPr>
                <w:rFonts w:cs="Arial"/>
                <w:sz w:val="16"/>
                <w:szCs w:val="16"/>
              </w:rPr>
            </w:pPr>
          </w:p>
        </w:tc>
      </w:tr>
      <w:tr w:rsidR="00E27CC9" w:rsidRPr="00DF4528" w14:paraId="3038DE2D" w14:textId="77777777" w:rsidTr="006425AE">
        <w:tc>
          <w:tcPr>
            <w:tcW w:w="1312" w:type="dxa"/>
            <w:shd w:val="clear" w:color="auto" w:fill="auto"/>
          </w:tcPr>
          <w:p w14:paraId="53388C88" w14:textId="77777777" w:rsidR="00E27CC9" w:rsidRPr="00822F47" w:rsidRDefault="00E27CC9" w:rsidP="00E53CB1">
            <w:pPr>
              <w:jc w:val="center"/>
              <w:rPr>
                <w:rFonts w:cs="Arial"/>
                <w:sz w:val="16"/>
                <w:szCs w:val="16"/>
              </w:rPr>
            </w:pPr>
          </w:p>
        </w:tc>
        <w:tc>
          <w:tcPr>
            <w:tcW w:w="4430" w:type="dxa"/>
            <w:shd w:val="clear" w:color="auto" w:fill="auto"/>
          </w:tcPr>
          <w:p w14:paraId="3B7413A6" w14:textId="77777777" w:rsidR="00E27CC9" w:rsidRPr="00822F47" w:rsidRDefault="00E27CC9" w:rsidP="00E53CB1">
            <w:pPr>
              <w:pStyle w:val="PlainText"/>
              <w:rPr>
                <w:rFonts w:ascii="Arial" w:hAnsi="Arial" w:cs="Arial"/>
                <w:sz w:val="16"/>
                <w:szCs w:val="16"/>
              </w:rPr>
            </w:pPr>
          </w:p>
        </w:tc>
        <w:tc>
          <w:tcPr>
            <w:tcW w:w="2340" w:type="dxa"/>
          </w:tcPr>
          <w:p w14:paraId="6F22A3C3" w14:textId="77777777" w:rsidR="00E27CC9" w:rsidRPr="00822F47" w:rsidRDefault="00E27CC9" w:rsidP="00E53CB1">
            <w:pPr>
              <w:rPr>
                <w:rFonts w:cs="Arial"/>
                <w:sz w:val="16"/>
                <w:szCs w:val="16"/>
              </w:rPr>
            </w:pPr>
          </w:p>
        </w:tc>
        <w:tc>
          <w:tcPr>
            <w:tcW w:w="2083" w:type="dxa"/>
          </w:tcPr>
          <w:p w14:paraId="1EF17597" w14:textId="77777777" w:rsidR="00E27CC9" w:rsidRPr="00822F47" w:rsidRDefault="00E27CC9" w:rsidP="00E53CB1">
            <w:pPr>
              <w:rPr>
                <w:rFonts w:cs="Arial"/>
                <w:sz w:val="16"/>
                <w:szCs w:val="16"/>
              </w:rPr>
            </w:pPr>
          </w:p>
        </w:tc>
      </w:tr>
      <w:tr w:rsidR="00E27CC9" w:rsidRPr="00DF4528" w14:paraId="328CB7A8" w14:textId="77777777" w:rsidTr="006425AE">
        <w:tc>
          <w:tcPr>
            <w:tcW w:w="1312" w:type="dxa"/>
            <w:shd w:val="clear" w:color="auto" w:fill="auto"/>
          </w:tcPr>
          <w:p w14:paraId="10B0204B" w14:textId="77777777" w:rsidR="00E27CC9" w:rsidRPr="00822F47" w:rsidRDefault="00E27CC9" w:rsidP="00E53CB1">
            <w:pPr>
              <w:jc w:val="center"/>
              <w:rPr>
                <w:rFonts w:cs="Arial"/>
                <w:sz w:val="16"/>
                <w:szCs w:val="16"/>
              </w:rPr>
            </w:pPr>
          </w:p>
        </w:tc>
        <w:tc>
          <w:tcPr>
            <w:tcW w:w="4430" w:type="dxa"/>
            <w:shd w:val="clear" w:color="auto" w:fill="auto"/>
          </w:tcPr>
          <w:p w14:paraId="4FD39CB6" w14:textId="77777777" w:rsidR="00E27CC9" w:rsidRPr="00822F47" w:rsidRDefault="00E27CC9" w:rsidP="00E53CB1">
            <w:pPr>
              <w:pStyle w:val="PlainText"/>
              <w:rPr>
                <w:rFonts w:ascii="Arial" w:hAnsi="Arial" w:cs="Arial"/>
                <w:sz w:val="16"/>
                <w:szCs w:val="16"/>
              </w:rPr>
            </w:pPr>
          </w:p>
        </w:tc>
        <w:tc>
          <w:tcPr>
            <w:tcW w:w="2340" w:type="dxa"/>
          </w:tcPr>
          <w:p w14:paraId="042FC631" w14:textId="77777777" w:rsidR="00E27CC9" w:rsidRPr="00822F47" w:rsidRDefault="00E27CC9" w:rsidP="00E53CB1">
            <w:pPr>
              <w:rPr>
                <w:rFonts w:cs="Arial"/>
                <w:sz w:val="16"/>
                <w:szCs w:val="16"/>
              </w:rPr>
            </w:pPr>
          </w:p>
        </w:tc>
        <w:tc>
          <w:tcPr>
            <w:tcW w:w="2083" w:type="dxa"/>
          </w:tcPr>
          <w:p w14:paraId="37D2F1A2" w14:textId="77777777" w:rsidR="00E27CC9" w:rsidRPr="00822F47" w:rsidRDefault="00E27CC9" w:rsidP="00E53CB1">
            <w:pPr>
              <w:rPr>
                <w:rFonts w:cs="Arial"/>
                <w:sz w:val="16"/>
                <w:szCs w:val="16"/>
              </w:rPr>
            </w:pPr>
          </w:p>
        </w:tc>
      </w:tr>
      <w:tr w:rsidR="00E27CC9" w:rsidRPr="00DF4528" w14:paraId="1595806D" w14:textId="77777777" w:rsidTr="006425AE">
        <w:tc>
          <w:tcPr>
            <w:tcW w:w="1312" w:type="dxa"/>
            <w:shd w:val="clear" w:color="auto" w:fill="auto"/>
          </w:tcPr>
          <w:p w14:paraId="5B6E7FC5" w14:textId="77777777" w:rsidR="00E27CC9" w:rsidRPr="00822F47" w:rsidRDefault="00E27CC9" w:rsidP="00E53CB1">
            <w:pPr>
              <w:jc w:val="center"/>
              <w:rPr>
                <w:rFonts w:cs="Arial"/>
                <w:sz w:val="16"/>
                <w:szCs w:val="16"/>
              </w:rPr>
            </w:pPr>
          </w:p>
        </w:tc>
        <w:tc>
          <w:tcPr>
            <w:tcW w:w="4430" w:type="dxa"/>
            <w:shd w:val="clear" w:color="auto" w:fill="auto"/>
          </w:tcPr>
          <w:p w14:paraId="39289D4E" w14:textId="77777777" w:rsidR="00E27CC9" w:rsidRPr="00822F47" w:rsidRDefault="00E27CC9" w:rsidP="00E53CB1">
            <w:pPr>
              <w:pStyle w:val="PlainText"/>
              <w:rPr>
                <w:rFonts w:ascii="Arial" w:hAnsi="Arial" w:cs="Arial"/>
                <w:sz w:val="16"/>
                <w:szCs w:val="16"/>
              </w:rPr>
            </w:pPr>
          </w:p>
        </w:tc>
        <w:tc>
          <w:tcPr>
            <w:tcW w:w="2340" w:type="dxa"/>
          </w:tcPr>
          <w:p w14:paraId="66279306" w14:textId="77777777" w:rsidR="00E27CC9" w:rsidRPr="00822F47" w:rsidRDefault="00E27CC9" w:rsidP="00E53CB1">
            <w:pPr>
              <w:rPr>
                <w:rFonts w:cs="Arial"/>
                <w:sz w:val="16"/>
                <w:szCs w:val="16"/>
              </w:rPr>
            </w:pPr>
          </w:p>
        </w:tc>
        <w:tc>
          <w:tcPr>
            <w:tcW w:w="2083" w:type="dxa"/>
          </w:tcPr>
          <w:p w14:paraId="17403748" w14:textId="77777777" w:rsidR="00E27CC9" w:rsidRPr="00822F47" w:rsidRDefault="00E27CC9" w:rsidP="00E53CB1">
            <w:pPr>
              <w:rPr>
                <w:rFonts w:cs="Arial"/>
                <w:sz w:val="16"/>
                <w:szCs w:val="16"/>
              </w:rPr>
            </w:pPr>
          </w:p>
        </w:tc>
      </w:tr>
      <w:tr w:rsidR="00E27CC9" w:rsidRPr="00DF4528" w14:paraId="26FAC941" w14:textId="77777777" w:rsidTr="006425AE">
        <w:tc>
          <w:tcPr>
            <w:tcW w:w="1312" w:type="dxa"/>
            <w:shd w:val="clear" w:color="auto" w:fill="auto"/>
          </w:tcPr>
          <w:p w14:paraId="236CA313" w14:textId="77777777" w:rsidR="00E27CC9" w:rsidRPr="00822F47" w:rsidRDefault="00E27CC9" w:rsidP="00E53CB1">
            <w:pPr>
              <w:jc w:val="center"/>
              <w:rPr>
                <w:rFonts w:cs="Arial"/>
                <w:sz w:val="16"/>
                <w:szCs w:val="16"/>
              </w:rPr>
            </w:pPr>
          </w:p>
        </w:tc>
        <w:tc>
          <w:tcPr>
            <w:tcW w:w="4430" w:type="dxa"/>
            <w:shd w:val="clear" w:color="auto" w:fill="auto"/>
          </w:tcPr>
          <w:p w14:paraId="19B8E2B3" w14:textId="77777777" w:rsidR="00E27CC9" w:rsidRPr="00822F47" w:rsidRDefault="00E27CC9" w:rsidP="00E53CB1">
            <w:pPr>
              <w:pStyle w:val="PlainText"/>
              <w:rPr>
                <w:rFonts w:ascii="Arial" w:hAnsi="Arial" w:cs="Arial"/>
                <w:sz w:val="16"/>
                <w:szCs w:val="16"/>
              </w:rPr>
            </w:pPr>
          </w:p>
        </w:tc>
        <w:tc>
          <w:tcPr>
            <w:tcW w:w="2340" w:type="dxa"/>
          </w:tcPr>
          <w:p w14:paraId="64DDBBDA" w14:textId="77777777" w:rsidR="00E27CC9" w:rsidRPr="00822F47" w:rsidRDefault="00E27CC9" w:rsidP="00E53CB1">
            <w:pPr>
              <w:rPr>
                <w:rFonts w:cs="Arial"/>
                <w:sz w:val="16"/>
                <w:szCs w:val="16"/>
              </w:rPr>
            </w:pPr>
          </w:p>
        </w:tc>
        <w:tc>
          <w:tcPr>
            <w:tcW w:w="2083" w:type="dxa"/>
          </w:tcPr>
          <w:p w14:paraId="297C7755" w14:textId="77777777" w:rsidR="00E27CC9" w:rsidRPr="00822F47" w:rsidRDefault="00E27CC9" w:rsidP="00E53CB1">
            <w:pPr>
              <w:rPr>
                <w:rFonts w:cs="Arial"/>
                <w:sz w:val="16"/>
                <w:szCs w:val="16"/>
              </w:rPr>
            </w:pPr>
          </w:p>
        </w:tc>
      </w:tr>
      <w:tr w:rsidR="00E27CC9" w:rsidRPr="00DF4528" w14:paraId="737FBF6B" w14:textId="77777777" w:rsidTr="006425AE">
        <w:tc>
          <w:tcPr>
            <w:tcW w:w="1312" w:type="dxa"/>
            <w:shd w:val="clear" w:color="auto" w:fill="auto"/>
          </w:tcPr>
          <w:p w14:paraId="7E078020" w14:textId="77777777" w:rsidR="00E27CC9" w:rsidRPr="00822F47" w:rsidRDefault="00E27CC9" w:rsidP="00E53CB1">
            <w:pPr>
              <w:jc w:val="center"/>
              <w:rPr>
                <w:rFonts w:cs="Arial"/>
                <w:sz w:val="16"/>
                <w:szCs w:val="16"/>
              </w:rPr>
            </w:pPr>
          </w:p>
        </w:tc>
        <w:tc>
          <w:tcPr>
            <w:tcW w:w="4430" w:type="dxa"/>
            <w:shd w:val="clear" w:color="auto" w:fill="auto"/>
          </w:tcPr>
          <w:p w14:paraId="00CB50B4" w14:textId="77777777" w:rsidR="00E27CC9" w:rsidRPr="00822F47" w:rsidRDefault="00E27CC9" w:rsidP="00E53CB1">
            <w:pPr>
              <w:pStyle w:val="PlainText"/>
              <w:rPr>
                <w:rFonts w:ascii="Arial" w:hAnsi="Arial" w:cs="Arial"/>
                <w:sz w:val="16"/>
                <w:szCs w:val="16"/>
              </w:rPr>
            </w:pPr>
          </w:p>
        </w:tc>
        <w:tc>
          <w:tcPr>
            <w:tcW w:w="2340" w:type="dxa"/>
          </w:tcPr>
          <w:p w14:paraId="12E3AD49" w14:textId="77777777" w:rsidR="00E27CC9" w:rsidRPr="00822F47" w:rsidRDefault="00E27CC9" w:rsidP="00E53CB1">
            <w:pPr>
              <w:rPr>
                <w:rFonts w:cs="Arial"/>
                <w:sz w:val="16"/>
                <w:szCs w:val="16"/>
              </w:rPr>
            </w:pPr>
          </w:p>
        </w:tc>
        <w:tc>
          <w:tcPr>
            <w:tcW w:w="2083" w:type="dxa"/>
          </w:tcPr>
          <w:p w14:paraId="437B7D39" w14:textId="77777777" w:rsidR="00E27CC9" w:rsidRPr="00822F47" w:rsidRDefault="00E27CC9" w:rsidP="00E53CB1">
            <w:pPr>
              <w:rPr>
                <w:rFonts w:cs="Arial"/>
                <w:sz w:val="16"/>
                <w:szCs w:val="16"/>
              </w:rPr>
            </w:pPr>
          </w:p>
        </w:tc>
      </w:tr>
      <w:tr w:rsidR="00E27CC9" w:rsidRPr="00DF4528" w14:paraId="1ACC3783" w14:textId="77777777" w:rsidTr="006425AE">
        <w:tc>
          <w:tcPr>
            <w:tcW w:w="1312" w:type="dxa"/>
            <w:shd w:val="clear" w:color="auto" w:fill="auto"/>
          </w:tcPr>
          <w:p w14:paraId="06DF6DF3" w14:textId="77777777" w:rsidR="00E27CC9" w:rsidRPr="00822F47" w:rsidRDefault="00E27CC9" w:rsidP="00E53CB1">
            <w:pPr>
              <w:jc w:val="center"/>
              <w:rPr>
                <w:rFonts w:cs="Arial"/>
                <w:sz w:val="16"/>
                <w:szCs w:val="16"/>
              </w:rPr>
            </w:pPr>
          </w:p>
        </w:tc>
        <w:tc>
          <w:tcPr>
            <w:tcW w:w="4430" w:type="dxa"/>
            <w:shd w:val="clear" w:color="auto" w:fill="auto"/>
          </w:tcPr>
          <w:p w14:paraId="4489C357" w14:textId="77777777" w:rsidR="00E27CC9" w:rsidRPr="00822F47" w:rsidRDefault="00E27CC9" w:rsidP="00E53CB1">
            <w:pPr>
              <w:pStyle w:val="PlainText"/>
              <w:rPr>
                <w:rFonts w:ascii="Arial" w:hAnsi="Arial" w:cs="Arial"/>
                <w:sz w:val="16"/>
                <w:szCs w:val="16"/>
              </w:rPr>
            </w:pPr>
          </w:p>
        </w:tc>
        <w:tc>
          <w:tcPr>
            <w:tcW w:w="2340" w:type="dxa"/>
          </w:tcPr>
          <w:p w14:paraId="7417C60E" w14:textId="77777777" w:rsidR="00E27CC9" w:rsidRPr="00822F47" w:rsidRDefault="00E27CC9" w:rsidP="00E53CB1">
            <w:pPr>
              <w:rPr>
                <w:rFonts w:cs="Arial"/>
                <w:sz w:val="16"/>
                <w:szCs w:val="16"/>
              </w:rPr>
            </w:pPr>
          </w:p>
        </w:tc>
        <w:tc>
          <w:tcPr>
            <w:tcW w:w="2083" w:type="dxa"/>
          </w:tcPr>
          <w:p w14:paraId="4F16050A" w14:textId="77777777" w:rsidR="00E27CC9" w:rsidRPr="00822F47" w:rsidRDefault="00E27CC9" w:rsidP="00E53CB1">
            <w:pPr>
              <w:rPr>
                <w:rFonts w:cs="Arial"/>
                <w:sz w:val="16"/>
                <w:szCs w:val="16"/>
              </w:rPr>
            </w:pPr>
          </w:p>
        </w:tc>
      </w:tr>
      <w:tr w:rsidR="00E27CC9" w:rsidRPr="00DF4528" w14:paraId="684F9CBE" w14:textId="77777777" w:rsidTr="006425AE">
        <w:tc>
          <w:tcPr>
            <w:tcW w:w="1312" w:type="dxa"/>
            <w:shd w:val="clear" w:color="auto" w:fill="auto"/>
          </w:tcPr>
          <w:p w14:paraId="277A5F21" w14:textId="77777777" w:rsidR="00E27CC9" w:rsidRPr="00822F47" w:rsidRDefault="00E27CC9" w:rsidP="00E53CB1">
            <w:pPr>
              <w:jc w:val="center"/>
              <w:rPr>
                <w:rFonts w:cs="Arial"/>
                <w:sz w:val="16"/>
                <w:szCs w:val="16"/>
              </w:rPr>
            </w:pPr>
          </w:p>
        </w:tc>
        <w:tc>
          <w:tcPr>
            <w:tcW w:w="4430" w:type="dxa"/>
            <w:shd w:val="clear" w:color="auto" w:fill="auto"/>
          </w:tcPr>
          <w:p w14:paraId="1CA033DB" w14:textId="77777777" w:rsidR="00E27CC9" w:rsidRPr="00822F47" w:rsidRDefault="00E27CC9" w:rsidP="00E53CB1">
            <w:pPr>
              <w:pStyle w:val="PlainText"/>
              <w:rPr>
                <w:rFonts w:ascii="Arial" w:hAnsi="Arial" w:cs="Arial"/>
                <w:sz w:val="16"/>
                <w:szCs w:val="16"/>
              </w:rPr>
            </w:pPr>
          </w:p>
        </w:tc>
        <w:tc>
          <w:tcPr>
            <w:tcW w:w="2340" w:type="dxa"/>
          </w:tcPr>
          <w:p w14:paraId="48F21B3F" w14:textId="77777777" w:rsidR="00E27CC9" w:rsidRPr="00822F47" w:rsidRDefault="00E27CC9" w:rsidP="00E53CB1">
            <w:pPr>
              <w:rPr>
                <w:rFonts w:cs="Arial"/>
                <w:sz w:val="16"/>
                <w:szCs w:val="16"/>
              </w:rPr>
            </w:pPr>
          </w:p>
        </w:tc>
        <w:tc>
          <w:tcPr>
            <w:tcW w:w="2083" w:type="dxa"/>
          </w:tcPr>
          <w:p w14:paraId="0B0C0CB1" w14:textId="77777777" w:rsidR="00E27CC9" w:rsidRPr="00822F47" w:rsidRDefault="00E27CC9" w:rsidP="00E53CB1">
            <w:pPr>
              <w:rPr>
                <w:rFonts w:cs="Arial"/>
                <w:sz w:val="16"/>
                <w:szCs w:val="16"/>
              </w:rPr>
            </w:pPr>
          </w:p>
        </w:tc>
      </w:tr>
      <w:tr w:rsidR="00E27CC9" w:rsidRPr="00DF4528" w14:paraId="0270108A" w14:textId="77777777" w:rsidTr="006425AE">
        <w:tc>
          <w:tcPr>
            <w:tcW w:w="1312" w:type="dxa"/>
            <w:shd w:val="clear" w:color="auto" w:fill="auto"/>
          </w:tcPr>
          <w:p w14:paraId="513D18F0" w14:textId="77777777" w:rsidR="00E27CC9" w:rsidRPr="00822F47" w:rsidRDefault="00E27CC9" w:rsidP="00E53CB1">
            <w:pPr>
              <w:jc w:val="center"/>
              <w:rPr>
                <w:rFonts w:cs="Arial"/>
                <w:sz w:val="16"/>
                <w:szCs w:val="16"/>
              </w:rPr>
            </w:pPr>
          </w:p>
        </w:tc>
        <w:tc>
          <w:tcPr>
            <w:tcW w:w="4430" w:type="dxa"/>
            <w:shd w:val="clear" w:color="auto" w:fill="auto"/>
          </w:tcPr>
          <w:p w14:paraId="2FF288F4" w14:textId="77777777" w:rsidR="00E27CC9" w:rsidRPr="00822F47" w:rsidRDefault="00E27CC9" w:rsidP="00E53CB1">
            <w:pPr>
              <w:pStyle w:val="PlainText"/>
              <w:rPr>
                <w:rFonts w:ascii="Arial" w:hAnsi="Arial" w:cs="Arial"/>
                <w:sz w:val="16"/>
                <w:szCs w:val="16"/>
              </w:rPr>
            </w:pPr>
          </w:p>
        </w:tc>
        <w:tc>
          <w:tcPr>
            <w:tcW w:w="2340" w:type="dxa"/>
          </w:tcPr>
          <w:p w14:paraId="067CC359" w14:textId="77777777" w:rsidR="00E27CC9" w:rsidRPr="00822F47" w:rsidRDefault="00E27CC9" w:rsidP="00E53CB1">
            <w:pPr>
              <w:rPr>
                <w:rFonts w:cs="Arial"/>
                <w:sz w:val="16"/>
                <w:szCs w:val="16"/>
              </w:rPr>
            </w:pPr>
          </w:p>
        </w:tc>
        <w:tc>
          <w:tcPr>
            <w:tcW w:w="2083" w:type="dxa"/>
          </w:tcPr>
          <w:p w14:paraId="7B5EE47A" w14:textId="77777777" w:rsidR="00E27CC9" w:rsidRPr="00822F47" w:rsidRDefault="00E27CC9" w:rsidP="00E53CB1">
            <w:pPr>
              <w:rPr>
                <w:rFonts w:cs="Arial"/>
                <w:sz w:val="16"/>
                <w:szCs w:val="16"/>
              </w:rPr>
            </w:pPr>
          </w:p>
        </w:tc>
      </w:tr>
      <w:tr w:rsidR="00E27CC9" w:rsidRPr="00DF4528" w14:paraId="6254C7D4" w14:textId="77777777" w:rsidTr="006425AE">
        <w:tc>
          <w:tcPr>
            <w:tcW w:w="1312" w:type="dxa"/>
            <w:shd w:val="clear" w:color="auto" w:fill="auto"/>
          </w:tcPr>
          <w:p w14:paraId="2037271F" w14:textId="77777777" w:rsidR="00E27CC9" w:rsidRPr="00822F47" w:rsidRDefault="00E27CC9" w:rsidP="00E53CB1">
            <w:pPr>
              <w:jc w:val="center"/>
              <w:rPr>
                <w:rFonts w:cs="Arial"/>
                <w:sz w:val="16"/>
                <w:szCs w:val="16"/>
              </w:rPr>
            </w:pPr>
          </w:p>
        </w:tc>
        <w:tc>
          <w:tcPr>
            <w:tcW w:w="4430" w:type="dxa"/>
            <w:shd w:val="clear" w:color="auto" w:fill="auto"/>
          </w:tcPr>
          <w:p w14:paraId="7EE49173" w14:textId="77777777" w:rsidR="00E27CC9" w:rsidRPr="00822F47" w:rsidRDefault="00E27CC9" w:rsidP="00E53CB1">
            <w:pPr>
              <w:pStyle w:val="PlainText"/>
              <w:rPr>
                <w:rFonts w:ascii="Arial" w:hAnsi="Arial" w:cs="Arial"/>
                <w:sz w:val="16"/>
                <w:szCs w:val="16"/>
              </w:rPr>
            </w:pPr>
          </w:p>
        </w:tc>
        <w:tc>
          <w:tcPr>
            <w:tcW w:w="2340" w:type="dxa"/>
          </w:tcPr>
          <w:p w14:paraId="21ACDAAC" w14:textId="77777777" w:rsidR="00E27CC9" w:rsidRPr="00822F47" w:rsidRDefault="00E27CC9" w:rsidP="00E53CB1">
            <w:pPr>
              <w:rPr>
                <w:rFonts w:cs="Arial"/>
                <w:sz w:val="16"/>
                <w:szCs w:val="16"/>
              </w:rPr>
            </w:pPr>
          </w:p>
        </w:tc>
        <w:tc>
          <w:tcPr>
            <w:tcW w:w="2083" w:type="dxa"/>
          </w:tcPr>
          <w:p w14:paraId="7F4DAF8E" w14:textId="77777777" w:rsidR="00E27CC9" w:rsidRPr="00822F47" w:rsidRDefault="00E27CC9" w:rsidP="00E53CB1">
            <w:pPr>
              <w:rPr>
                <w:rFonts w:cs="Arial"/>
                <w:sz w:val="16"/>
                <w:szCs w:val="16"/>
              </w:rPr>
            </w:pPr>
          </w:p>
        </w:tc>
      </w:tr>
      <w:tr w:rsidR="00E27CC9" w:rsidRPr="00DF4528" w14:paraId="3614696C" w14:textId="77777777" w:rsidTr="006425AE">
        <w:tc>
          <w:tcPr>
            <w:tcW w:w="1312" w:type="dxa"/>
            <w:shd w:val="clear" w:color="auto" w:fill="auto"/>
          </w:tcPr>
          <w:p w14:paraId="698309EC" w14:textId="77777777" w:rsidR="00E27CC9" w:rsidRPr="00822F47" w:rsidRDefault="00E27CC9" w:rsidP="00E53CB1">
            <w:pPr>
              <w:jc w:val="center"/>
              <w:rPr>
                <w:rFonts w:cs="Arial"/>
                <w:sz w:val="16"/>
                <w:szCs w:val="16"/>
              </w:rPr>
            </w:pPr>
          </w:p>
        </w:tc>
        <w:tc>
          <w:tcPr>
            <w:tcW w:w="4430" w:type="dxa"/>
            <w:shd w:val="clear" w:color="auto" w:fill="auto"/>
          </w:tcPr>
          <w:p w14:paraId="632090E1" w14:textId="77777777" w:rsidR="00E27CC9" w:rsidRPr="00822F47" w:rsidRDefault="00E27CC9" w:rsidP="00E53CB1">
            <w:pPr>
              <w:pStyle w:val="PlainText"/>
              <w:rPr>
                <w:rFonts w:ascii="Arial" w:hAnsi="Arial" w:cs="Arial"/>
                <w:sz w:val="16"/>
                <w:szCs w:val="16"/>
              </w:rPr>
            </w:pPr>
          </w:p>
        </w:tc>
        <w:tc>
          <w:tcPr>
            <w:tcW w:w="2340" w:type="dxa"/>
          </w:tcPr>
          <w:p w14:paraId="7362E206" w14:textId="77777777" w:rsidR="00E27CC9" w:rsidRPr="00822F47" w:rsidRDefault="00E27CC9" w:rsidP="00E53CB1">
            <w:pPr>
              <w:rPr>
                <w:rFonts w:cs="Arial"/>
                <w:sz w:val="16"/>
                <w:szCs w:val="16"/>
              </w:rPr>
            </w:pPr>
          </w:p>
        </w:tc>
        <w:tc>
          <w:tcPr>
            <w:tcW w:w="2083" w:type="dxa"/>
          </w:tcPr>
          <w:p w14:paraId="3385FBAA" w14:textId="77777777" w:rsidR="00E27CC9" w:rsidRPr="00822F47" w:rsidRDefault="00E27CC9" w:rsidP="00E53CB1">
            <w:pPr>
              <w:rPr>
                <w:rFonts w:cs="Arial"/>
                <w:sz w:val="16"/>
                <w:szCs w:val="16"/>
              </w:rPr>
            </w:pPr>
          </w:p>
        </w:tc>
      </w:tr>
      <w:tr w:rsidR="00E27CC9" w:rsidRPr="00DF4528" w14:paraId="15076817" w14:textId="77777777" w:rsidTr="006425AE">
        <w:tc>
          <w:tcPr>
            <w:tcW w:w="1312" w:type="dxa"/>
            <w:shd w:val="clear" w:color="auto" w:fill="auto"/>
          </w:tcPr>
          <w:p w14:paraId="481D24B5" w14:textId="77777777" w:rsidR="00E27CC9" w:rsidRPr="00822F47" w:rsidRDefault="00E27CC9" w:rsidP="00E53CB1">
            <w:pPr>
              <w:jc w:val="center"/>
              <w:rPr>
                <w:rFonts w:cs="Arial"/>
                <w:sz w:val="16"/>
                <w:szCs w:val="16"/>
              </w:rPr>
            </w:pPr>
          </w:p>
        </w:tc>
        <w:tc>
          <w:tcPr>
            <w:tcW w:w="4430" w:type="dxa"/>
            <w:shd w:val="clear" w:color="auto" w:fill="auto"/>
          </w:tcPr>
          <w:p w14:paraId="211610BE" w14:textId="77777777" w:rsidR="00E27CC9" w:rsidRPr="00822F47" w:rsidRDefault="00E27CC9" w:rsidP="00E53CB1">
            <w:pPr>
              <w:pStyle w:val="PlainText"/>
              <w:rPr>
                <w:rFonts w:ascii="Arial" w:hAnsi="Arial" w:cs="Arial"/>
                <w:sz w:val="16"/>
                <w:szCs w:val="16"/>
              </w:rPr>
            </w:pPr>
          </w:p>
        </w:tc>
        <w:tc>
          <w:tcPr>
            <w:tcW w:w="2340" w:type="dxa"/>
          </w:tcPr>
          <w:p w14:paraId="668D0C75" w14:textId="77777777" w:rsidR="00E27CC9" w:rsidRPr="00822F47" w:rsidRDefault="00E27CC9" w:rsidP="00E53CB1">
            <w:pPr>
              <w:rPr>
                <w:rFonts w:cs="Arial"/>
                <w:sz w:val="16"/>
                <w:szCs w:val="16"/>
              </w:rPr>
            </w:pPr>
          </w:p>
        </w:tc>
        <w:tc>
          <w:tcPr>
            <w:tcW w:w="2083" w:type="dxa"/>
          </w:tcPr>
          <w:p w14:paraId="4C23D0A0" w14:textId="77777777" w:rsidR="00E27CC9" w:rsidRPr="00822F47" w:rsidRDefault="00E27CC9" w:rsidP="00E53CB1">
            <w:pPr>
              <w:rPr>
                <w:rFonts w:cs="Arial"/>
                <w:sz w:val="16"/>
                <w:szCs w:val="16"/>
              </w:rPr>
            </w:pPr>
          </w:p>
        </w:tc>
      </w:tr>
      <w:tr w:rsidR="00E27CC9" w:rsidRPr="00DF4528" w14:paraId="79774486" w14:textId="77777777" w:rsidTr="006425AE">
        <w:tc>
          <w:tcPr>
            <w:tcW w:w="1312" w:type="dxa"/>
            <w:shd w:val="clear" w:color="auto" w:fill="auto"/>
          </w:tcPr>
          <w:p w14:paraId="5830E54A" w14:textId="77777777" w:rsidR="00E27CC9" w:rsidRPr="00822F47" w:rsidRDefault="00E27CC9" w:rsidP="00E53CB1">
            <w:pPr>
              <w:jc w:val="center"/>
              <w:rPr>
                <w:rFonts w:cs="Arial"/>
                <w:sz w:val="16"/>
                <w:szCs w:val="16"/>
              </w:rPr>
            </w:pPr>
          </w:p>
        </w:tc>
        <w:tc>
          <w:tcPr>
            <w:tcW w:w="4430" w:type="dxa"/>
            <w:shd w:val="clear" w:color="auto" w:fill="auto"/>
          </w:tcPr>
          <w:p w14:paraId="66D924CB" w14:textId="77777777" w:rsidR="00E27CC9" w:rsidRPr="00822F47" w:rsidRDefault="00E27CC9" w:rsidP="00E53CB1">
            <w:pPr>
              <w:pStyle w:val="PlainText"/>
              <w:rPr>
                <w:rFonts w:ascii="Arial" w:hAnsi="Arial" w:cs="Arial"/>
                <w:sz w:val="16"/>
                <w:szCs w:val="16"/>
              </w:rPr>
            </w:pPr>
          </w:p>
        </w:tc>
        <w:tc>
          <w:tcPr>
            <w:tcW w:w="2340" w:type="dxa"/>
          </w:tcPr>
          <w:p w14:paraId="33656294" w14:textId="77777777" w:rsidR="00E27CC9" w:rsidRPr="00822F47" w:rsidRDefault="00E27CC9" w:rsidP="00E53CB1">
            <w:pPr>
              <w:rPr>
                <w:rFonts w:cs="Arial"/>
                <w:sz w:val="16"/>
                <w:szCs w:val="16"/>
              </w:rPr>
            </w:pPr>
          </w:p>
        </w:tc>
        <w:tc>
          <w:tcPr>
            <w:tcW w:w="2083" w:type="dxa"/>
          </w:tcPr>
          <w:p w14:paraId="538391A5" w14:textId="77777777" w:rsidR="00E27CC9" w:rsidRPr="00822F47" w:rsidRDefault="00E27CC9" w:rsidP="00E53CB1">
            <w:pPr>
              <w:rPr>
                <w:rFonts w:cs="Arial"/>
                <w:sz w:val="16"/>
                <w:szCs w:val="16"/>
              </w:rPr>
            </w:pPr>
          </w:p>
        </w:tc>
      </w:tr>
      <w:tr w:rsidR="00E27CC9" w:rsidRPr="00DF4528" w14:paraId="46854960" w14:textId="77777777" w:rsidTr="006425AE">
        <w:tc>
          <w:tcPr>
            <w:tcW w:w="1312" w:type="dxa"/>
            <w:shd w:val="clear" w:color="auto" w:fill="auto"/>
          </w:tcPr>
          <w:p w14:paraId="6F8CC3DC" w14:textId="77777777" w:rsidR="00E27CC9" w:rsidRPr="00822F47" w:rsidRDefault="00E27CC9" w:rsidP="00E53CB1">
            <w:pPr>
              <w:jc w:val="center"/>
              <w:rPr>
                <w:rFonts w:cs="Arial"/>
                <w:sz w:val="16"/>
                <w:szCs w:val="16"/>
              </w:rPr>
            </w:pPr>
          </w:p>
        </w:tc>
        <w:tc>
          <w:tcPr>
            <w:tcW w:w="4430" w:type="dxa"/>
            <w:shd w:val="clear" w:color="auto" w:fill="auto"/>
          </w:tcPr>
          <w:p w14:paraId="0642C071" w14:textId="77777777" w:rsidR="00E27CC9" w:rsidRPr="00822F47" w:rsidRDefault="00E27CC9" w:rsidP="00E53CB1">
            <w:pPr>
              <w:pStyle w:val="PlainText"/>
              <w:rPr>
                <w:rFonts w:ascii="Arial" w:hAnsi="Arial" w:cs="Arial"/>
                <w:sz w:val="16"/>
                <w:szCs w:val="16"/>
              </w:rPr>
            </w:pPr>
          </w:p>
        </w:tc>
        <w:tc>
          <w:tcPr>
            <w:tcW w:w="2340" w:type="dxa"/>
          </w:tcPr>
          <w:p w14:paraId="49DD69B8" w14:textId="77777777" w:rsidR="00E27CC9" w:rsidRPr="00822F47" w:rsidRDefault="00E27CC9" w:rsidP="00E53CB1">
            <w:pPr>
              <w:rPr>
                <w:rFonts w:cs="Arial"/>
                <w:sz w:val="16"/>
                <w:szCs w:val="16"/>
              </w:rPr>
            </w:pPr>
          </w:p>
        </w:tc>
        <w:tc>
          <w:tcPr>
            <w:tcW w:w="2083" w:type="dxa"/>
          </w:tcPr>
          <w:p w14:paraId="4E2D9A4D" w14:textId="77777777" w:rsidR="00E27CC9" w:rsidRPr="00822F47" w:rsidRDefault="00E27CC9" w:rsidP="00E53CB1">
            <w:pPr>
              <w:rPr>
                <w:rFonts w:cs="Arial"/>
                <w:sz w:val="16"/>
                <w:szCs w:val="16"/>
              </w:rPr>
            </w:pPr>
          </w:p>
        </w:tc>
      </w:tr>
      <w:tr w:rsidR="00E27CC9" w:rsidRPr="00DF4528" w14:paraId="46543C65" w14:textId="77777777" w:rsidTr="006425AE">
        <w:tc>
          <w:tcPr>
            <w:tcW w:w="1312" w:type="dxa"/>
            <w:shd w:val="clear" w:color="auto" w:fill="auto"/>
          </w:tcPr>
          <w:p w14:paraId="025CB3B5" w14:textId="77777777" w:rsidR="00E27CC9" w:rsidRPr="00822F47" w:rsidRDefault="00E27CC9" w:rsidP="00E53CB1">
            <w:pPr>
              <w:jc w:val="center"/>
              <w:rPr>
                <w:rFonts w:cs="Arial"/>
                <w:sz w:val="16"/>
                <w:szCs w:val="16"/>
              </w:rPr>
            </w:pPr>
          </w:p>
        </w:tc>
        <w:tc>
          <w:tcPr>
            <w:tcW w:w="4430" w:type="dxa"/>
            <w:shd w:val="clear" w:color="auto" w:fill="auto"/>
          </w:tcPr>
          <w:p w14:paraId="3966D356" w14:textId="77777777" w:rsidR="00E27CC9" w:rsidRPr="00822F47" w:rsidRDefault="00E27CC9" w:rsidP="00E53CB1">
            <w:pPr>
              <w:pStyle w:val="PlainText"/>
              <w:rPr>
                <w:rFonts w:ascii="Arial" w:hAnsi="Arial" w:cs="Arial"/>
                <w:sz w:val="16"/>
                <w:szCs w:val="16"/>
              </w:rPr>
            </w:pPr>
          </w:p>
        </w:tc>
        <w:tc>
          <w:tcPr>
            <w:tcW w:w="2340" w:type="dxa"/>
          </w:tcPr>
          <w:p w14:paraId="38C66702" w14:textId="77777777" w:rsidR="00E27CC9" w:rsidRPr="00822F47" w:rsidRDefault="00E27CC9" w:rsidP="00E53CB1">
            <w:pPr>
              <w:rPr>
                <w:rFonts w:cs="Arial"/>
                <w:sz w:val="16"/>
                <w:szCs w:val="16"/>
              </w:rPr>
            </w:pPr>
          </w:p>
        </w:tc>
        <w:tc>
          <w:tcPr>
            <w:tcW w:w="2083" w:type="dxa"/>
          </w:tcPr>
          <w:p w14:paraId="2E6A7D43" w14:textId="77777777" w:rsidR="00E27CC9" w:rsidRPr="00822F47" w:rsidRDefault="00E27CC9" w:rsidP="00E53CB1">
            <w:pPr>
              <w:rPr>
                <w:rFonts w:cs="Arial"/>
                <w:sz w:val="16"/>
                <w:szCs w:val="16"/>
              </w:rPr>
            </w:pPr>
          </w:p>
        </w:tc>
      </w:tr>
    </w:tbl>
    <w:p w14:paraId="4E198BD5" w14:textId="13B29687" w:rsidR="0021431C" w:rsidRDefault="0021431C" w:rsidP="007A6B6C">
      <w:pPr>
        <w:pStyle w:val="Heading1"/>
      </w:pPr>
    </w:p>
    <w:p w14:paraId="052C6886" w14:textId="400DD8B4" w:rsidR="0021431C" w:rsidRPr="0021431C" w:rsidRDefault="0021431C" w:rsidP="003C1B5F">
      <w:pPr>
        <w:pStyle w:val="Heading1"/>
      </w:pPr>
      <w:r>
        <w:br w:type="page"/>
      </w:r>
    </w:p>
    <w:p w14:paraId="29EF9893" w14:textId="2756F59F" w:rsidR="00E607A6" w:rsidRDefault="00E607A6" w:rsidP="007A6B6C">
      <w:pPr>
        <w:pStyle w:val="Heading1"/>
      </w:pPr>
      <w:bookmarkStart w:id="1" w:name="_Toc83281162"/>
      <w:r>
        <w:lastRenderedPageBreak/>
        <w:t>Executive Summary</w:t>
      </w:r>
      <w:bookmarkEnd w:id="1"/>
    </w:p>
    <w:p w14:paraId="7A7DC215" w14:textId="77777777" w:rsidR="00E607A6" w:rsidRDefault="00E607A6" w:rsidP="00E607A6">
      <w:pPr>
        <w:ind w:left="720" w:hanging="360"/>
      </w:pPr>
    </w:p>
    <w:p w14:paraId="3AF3A8F4" w14:textId="47642C41" w:rsidR="00C75F35" w:rsidRDefault="00E607A6" w:rsidP="00033BB6">
      <w:pPr>
        <w:ind w:firstLine="410"/>
      </w:pPr>
      <w:r>
        <w:t>The purpose of this document is to detail A</w:t>
      </w:r>
      <w:r w:rsidR="00795A17">
        <w:t xml:space="preserve">ustin </w:t>
      </w:r>
      <w:r>
        <w:t>P</w:t>
      </w:r>
      <w:r w:rsidR="00795A17">
        <w:t xml:space="preserve">ublic </w:t>
      </w:r>
      <w:r>
        <w:t>H</w:t>
      </w:r>
      <w:r w:rsidR="00795A17">
        <w:t>ealth</w:t>
      </w:r>
      <w:r>
        <w:t xml:space="preserve">’s framework for balancing equitable access, service delivery, and vaccine demand in consideration of </w:t>
      </w:r>
      <w:r w:rsidR="00C75F35">
        <w:t>contemporary concerns such as:</w:t>
      </w:r>
    </w:p>
    <w:p w14:paraId="67419BF9" w14:textId="0EAA42F5" w:rsidR="005B30A9" w:rsidRDefault="005B30A9" w:rsidP="007A6B6C">
      <w:pPr>
        <w:pStyle w:val="ListParagraph"/>
        <w:numPr>
          <w:ilvl w:val="0"/>
          <w:numId w:val="9"/>
        </w:numPr>
      </w:pPr>
      <w:r>
        <w:t xml:space="preserve">Continued </w:t>
      </w:r>
      <w:r w:rsidR="00121E36">
        <w:t xml:space="preserve">vaccine </w:t>
      </w:r>
      <w:r w:rsidR="07979BB4">
        <w:t>hesitancy</w:t>
      </w:r>
      <w:r>
        <w:t xml:space="preserve"> in communities</w:t>
      </w:r>
    </w:p>
    <w:p w14:paraId="656C8CED" w14:textId="6DDBCB2B" w:rsidR="005B30A9" w:rsidRDefault="005B30A9" w:rsidP="007A6B6C">
      <w:pPr>
        <w:pStyle w:val="ListParagraph"/>
        <w:numPr>
          <w:ilvl w:val="0"/>
          <w:numId w:val="9"/>
        </w:numPr>
      </w:pPr>
      <w:r>
        <w:t>Inequity in vaccine administration</w:t>
      </w:r>
    </w:p>
    <w:p w14:paraId="5A33CB94" w14:textId="69CA4EF9" w:rsidR="00E607A6" w:rsidRDefault="00570505" w:rsidP="007A6B6C">
      <w:pPr>
        <w:pStyle w:val="ListParagraph"/>
        <w:numPr>
          <w:ilvl w:val="0"/>
          <w:numId w:val="9"/>
        </w:numPr>
      </w:pPr>
      <w:r>
        <w:t xml:space="preserve">Approval </w:t>
      </w:r>
      <w:r w:rsidR="00C75F35">
        <w:t>of booster doses for the</w:t>
      </w:r>
      <w:r w:rsidR="00E607A6">
        <w:t xml:space="preserve"> </w:t>
      </w:r>
      <w:r w:rsidR="00121E36">
        <w:t>COVID-19 vaccine</w:t>
      </w:r>
    </w:p>
    <w:p w14:paraId="41004983" w14:textId="5DC0AD5B" w:rsidR="00C75F35" w:rsidRDefault="00C75F35" w:rsidP="007A6B6C">
      <w:pPr>
        <w:pStyle w:val="ListParagraph"/>
        <w:numPr>
          <w:ilvl w:val="0"/>
          <w:numId w:val="9"/>
        </w:numPr>
      </w:pPr>
      <w:r>
        <w:t>Anticipated approval of a COVID-19 vaccine for use in children younger than 12 years of age</w:t>
      </w:r>
    </w:p>
    <w:p w14:paraId="139C220B" w14:textId="4966F5B1" w:rsidR="003E7728" w:rsidRDefault="003E7728" w:rsidP="13B1B8EA"/>
    <w:p w14:paraId="27A9D793" w14:textId="77777777" w:rsidR="004A44A1" w:rsidRDefault="004A44A1" w:rsidP="004A44A1">
      <w:pPr>
        <w:ind w:firstLine="41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In January of 2021 Austin Public Health was designated as a statewide hub, providing COVID-19 vaccinations to Texas residents in accordance with eligibility requirements. To assist with vaccine accessibility Austin Public Health set up mass vaccination sites and launched the Mobile Vaccination Program, collaborating with community partners to develop community-based COVID-19 vaccination clinics. As a result of the changing demands to the vaccine response, Austin Public Health and the Vaccine Planning Committee have developed an additional set of Guiding Principles (Figure 1) to inform the ongoing community-wide vaccination efforts. </w:t>
      </w:r>
    </w:p>
    <w:p w14:paraId="4C16F460" w14:textId="77777777" w:rsidR="004A44A1" w:rsidRDefault="004A44A1" w:rsidP="13B1B8EA"/>
    <w:p w14:paraId="7A0BCE97" w14:textId="07136601" w:rsidR="0009086E" w:rsidRPr="0009086E" w:rsidRDefault="0009086E" w:rsidP="0009086E">
      <w:r>
        <w:rPr>
          <w:noProof/>
        </w:rPr>
        <w:drawing>
          <wp:inline distT="0" distB="0" distL="0" distR="0" wp14:anchorId="12366BE0" wp14:editId="6468DF65">
            <wp:extent cx="5943600" cy="3343275"/>
            <wp:effectExtent l="0" t="0" r="0" b="9525"/>
            <wp:docPr id="1" name="Picture 1" descr="Guiding principles that focus ongoing community-wide vaccination activities. Eliminating disease by focusing on equitable access in order to achieve high levels of vaccine-induced immunity, disrupt person-to-person transmission, and address vaccine hesitancy. &#10;1. Focus on disproportionally impacted communities, achieving vaccination for all members of our community. 2. Focus on Education and Outreach by helping people understand the benefits and safety of vaccination 3. Maximize resource allocation, coordinating resources and increase awareness of vaccine locations 4. Maximize doses administered by taking the vaccine to where people live, work, and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uiding principles that focus ongoing community-wide vaccination activities. Eliminating disease by focusing on equitable access in order to achieve high levels of vaccine-induced immunity, disrupt person-to-person transmission, and address vaccine hesitancy. &#10;1. Focus on disproportionally impacted communities, achieving vaccination for all members of our community. 2. Focus on Education and Outreach by helping people understand the benefits and safety of vaccination 3. Maximize resource allocation, coordinating resources and increase awareness of vaccine locations 4. Maximize doses administered by taking the vaccine to where people live, work, and play."/>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E3CDFFA" w14:textId="59625533" w:rsidR="008E10F4" w:rsidRPr="008E10F4" w:rsidRDefault="008E10F4" w:rsidP="0009086E">
      <w:pPr>
        <w:rPr>
          <w:i/>
          <w:iCs/>
          <w:sz w:val="18"/>
          <w:szCs w:val="18"/>
        </w:rPr>
      </w:pPr>
      <w:r w:rsidRPr="008E10F4">
        <w:rPr>
          <w:i/>
          <w:iCs/>
          <w:sz w:val="18"/>
          <w:szCs w:val="18"/>
        </w:rPr>
        <w:t>Fig</w:t>
      </w:r>
      <w:r w:rsidR="004A44A1">
        <w:rPr>
          <w:i/>
          <w:iCs/>
          <w:sz w:val="18"/>
          <w:szCs w:val="18"/>
        </w:rPr>
        <w:t>ure</w:t>
      </w:r>
      <w:r w:rsidRPr="008E10F4">
        <w:rPr>
          <w:i/>
          <w:iCs/>
          <w:sz w:val="18"/>
          <w:szCs w:val="18"/>
        </w:rPr>
        <w:t xml:space="preserve"> 1</w:t>
      </w:r>
    </w:p>
    <w:p w14:paraId="6F6EB730" w14:textId="281724C9" w:rsidR="00F96E4A" w:rsidRDefault="00F96E4A"/>
    <w:p w14:paraId="1AEB0299" w14:textId="08732FE9" w:rsidR="002E59A7" w:rsidRDefault="00AB071A" w:rsidP="00A639A7">
      <w:pPr>
        <w:ind w:firstLine="720"/>
      </w:pPr>
      <w:r>
        <w:lastRenderedPageBreak/>
        <w:t xml:space="preserve">COVID-19 vaccines are widely available to all residents of the capital area through private providers, pharmacies, and </w:t>
      </w:r>
      <w:r w:rsidR="00AE745A">
        <w:t xml:space="preserve">public health </w:t>
      </w:r>
      <w:r w:rsidR="005B356A">
        <w:t>organizations</w:t>
      </w:r>
      <w:r w:rsidR="00AE745A">
        <w:t xml:space="preserve">. In general, the supply of the COVID-19 vaccine has exceeded demand </w:t>
      </w:r>
      <w:r w:rsidR="00904E19">
        <w:t>and, as of July 4</w:t>
      </w:r>
      <w:r w:rsidR="00904E19" w:rsidRPr="00904E19">
        <w:rPr>
          <w:vertAlign w:val="superscript"/>
        </w:rPr>
        <w:t>th</w:t>
      </w:r>
      <w:r w:rsidR="00704B76">
        <w:t>,</w:t>
      </w:r>
      <w:r w:rsidR="00904E19">
        <w:t xml:space="preserve"> 2021, over 70% of eligible Travis County residents have received at least one dose of a COVID-19 vaccine. </w:t>
      </w:r>
    </w:p>
    <w:p w14:paraId="78A4D27E" w14:textId="74AA745A" w:rsidR="007A3E8B" w:rsidRDefault="007A3E8B" w:rsidP="00A639A7">
      <w:pPr>
        <w:ind w:firstLine="720"/>
      </w:pPr>
      <w:r>
        <w:t>Austin Public Health will continue to monitor COVID-19 vaccine up</w:t>
      </w:r>
      <w:r w:rsidR="005B356A">
        <w:t>take</w:t>
      </w:r>
      <w:r>
        <w:t xml:space="preserve"> and coverage in </w:t>
      </w:r>
      <w:r w:rsidR="00D71ED7">
        <w:t>high</w:t>
      </w:r>
      <w:r w:rsidR="00704B76">
        <w:t>-</w:t>
      </w:r>
      <w:r w:rsidR="00D71ED7">
        <w:t>risk populations</w:t>
      </w:r>
      <w:r w:rsidR="005B356A">
        <w:t xml:space="preserve">, </w:t>
      </w:r>
      <w:r w:rsidR="00D71ED7">
        <w:t>enhanc</w:t>
      </w:r>
      <w:r w:rsidR="005B356A">
        <w:t>ing</w:t>
      </w:r>
      <w:r w:rsidR="00D71ED7">
        <w:t xml:space="preserve"> current strategies to reach population</w:t>
      </w:r>
      <w:r w:rsidR="4DBD3941">
        <w:t xml:space="preserve"> </w:t>
      </w:r>
      <w:r w:rsidR="00D71ED7">
        <w:t>with low vaccination uptake or coverage.</w:t>
      </w:r>
      <w:r w:rsidR="006534D1">
        <w:t xml:space="preserve"> In addition, APH </w:t>
      </w:r>
      <w:r w:rsidR="00F85561">
        <w:t xml:space="preserve">is preparing for </w:t>
      </w:r>
      <w:r w:rsidR="3DACB085">
        <w:t>3</w:t>
      </w:r>
      <w:r w:rsidR="3DACB085" w:rsidRPr="13B1B8EA">
        <w:rPr>
          <w:vertAlign w:val="superscript"/>
        </w:rPr>
        <w:t>rd</w:t>
      </w:r>
      <w:r w:rsidR="3DACB085">
        <w:t xml:space="preserve"> doses</w:t>
      </w:r>
      <w:r w:rsidR="005E7342">
        <w:t xml:space="preserve"> and will employ lessons learned</w:t>
      </w:r>
      <w:r w:rsidR="00003811">
        <w:t xml:space="preserve"> from 1</w:t>
      </w:r>
      <w:r w:rsidR="00003811" w:rsidRPr="00003811">
        <w:rPr>
          <w:vertAlign w:val="superscript"/>
        </w:rPr>
        <w:t>st</w:t>
      </w:r>
      <w:r w:rsidR="00003811">
        <w:t xml:space="preserve"> and 2</w:t>
      </w:r>
      <w:r w:rsidR="00003811" w:rsidRPr="00003811">
        <w:rPr>
          <w:vertAlign w:val="superscript"/>
        </w:rPr>
        <w:t>nd</w:t>
      </w:r>
      <w:r w:rsidR="00003811">
        <w:t xml:space="preserve"> doses</w:t>
      </w:r>
      <w:r w:rsidR="005E7342">
        <w:t xml:space="preserve"> to improve vaccination efforts. </w:t>
      </w:r>
    </w:p>
    <w:p w14:paraId="32CC46B9" w14:textId="77777777" w:rsidR="00F96E4A" w:rsidRDefault="00F96E4A"/>
    <w:p w14:paraId="22E8DC50" w14:textId="32BB3039" w:rsidR="008E5CFA" w:rsidRDefault="008E5CFA" w:rsidP="008E5CFA">
      <w:pPr>
        <w:pStyle w:val="Heading1"/>
      </w:pPr>
      <w:bookmarkStart w:id="2" w:name="_Toc83281163"/>
      <w:r>
        <w:t>Section 1: COVID-19 Vaccination Program Comprehensive Education and Outreach Campaign</w:t>
      </w:r>
      <w:bookmarkEnd w:id="2"/>
      <w:r>
        <w:t xml:space="preserve"> </w:t>
      </w:r>
    </w:p>
    <w:p w14:paraId="07163D9B" w14:textId="77777777" w:rsidR="00D37B6A" w:rsidRPr="00A639A7" w:rsidRDefault="00D37B6A" w:rsidP="00A639A7"/>
    <w:p w14:paraId="1499E163" w14:textId="156792C4" w:rsidR="008E5CFA" w:rsidRPr="0003113A" w:rsidRDefault="00D5519E" w:rsidP="00A639A7">
      <w:pPr>
        <w:spacing w:line="257" w:lineRule="auto"/>
        <w:ind w:firstLine="360"/>
        <w:rPr>
          <w:rFonts w:ascii="Calibri" w:eastAsia="Calibri" w:hAnsi="Calibri" w:cs="Calibri"/>
        </w:rPr>
      </w:pPr>
      <w:r>
        <w:rPr>
          <w:rFonts w:ascii="Calibri" w:eastAsia="Calibri" w:hAnsi="Calibri" w:cs="Calibri"/>
        </w:rPr>
        <w:t xml:space="preserve">APH </w:t>
      </w:r>
      <w:r w:rsidR="008E5CFA" w:rsidRPr="641E8D60">
        <w:rPr>
          <w:rFonts w:ascii="Calibri" w:eastAsia="Calibri" w:hAnsi="Calibri" w:cs="Calibri"/>
        </w:rPr>
        <w:t>launche</w:t>
      </w:r>
      <w:r>
        <w:rPr>
          <w:rFonts w:ascii="Calibri" w:eastAsia="Calibri" w:hAnsi="Calibri" w:cs="Calibri"/>
        </w:rPr>
        <w:t>d</w:t>
      </w:r>
      <w:r w:rsidR="008E5CFA" w:rsidRPr="641E8D60">
        <w:rPr>
          <w:rFonts w:ascii="Calibri" w:eastAsia="Calibri" w:hAnsi="Calibri" w:cs="Calibri"/>
        </w:rPr>
        <w:t xml:space="preserve"> a comprehensive multi-pronged</w:t>
      </w:r>
      <w:r w:rsidR="00003811">
        <w:rPr>
          <w:rFonts w:ascii="Calibri" w:eastAsia="Calibri" w:hAnsi="Calibri" w:cs="Calibri"/>
        </w:rPr>
        <w:t xml:space="preserve"> outreach</w:t>
      </w:r>
      <w:r w:rsidR="008E5CFA" w:rsidRPr="641E8D60">
        <w:rPr>
          <w:rFonts w:ascii="Calibri" w:eastAsia="Calibri" w:hAnsi="Calibri" w:cs="Calibri"/>
        </w:rPr>
        <w:t xml:space="preserve"> campaign</w:t>
      </w:r>
      <w:r w:rsidR="00003811">
        <w:rPr>
          <w:rFonts w:ascii="Calibri" w:eastAsia="Calibri" w:hAnsi="Calibri" w:cs="Calibri"/>
        </w:rPr>
        <w:t>,</w:t>
      </w:r>
      <w:r w:rsidR="008E5CFA" w:rsidRPr="641E8D60">
        <w:rPr>
          <w:rFonts w:ascii="Calibri" w:eastAsia="Calibri" w:hAnsi="Calibri" w:cs="Calibri"/>
        </w:rPr>
        <w:t xml:space="preserve"> applying a health equity lens</w:t>
      </w:r>
      <w:r w:rsidR="0010758A">
        <w:rPr>
          <w:rFonts w:ascii="Calibri" w:eastAsia="Calibri" w:hAnsi="Calibri" w:cs="Calibri"/>
        </w:rPr>
        <w:t xml:space="preserve"> </w:t>
      </w:r>
      <w:r w:rsidR="61F3D8A4" w:rsidRPr="5EB0F08C">
        <w:rPr>
          <w:rFonts w:ascii="Calibri" w:eastAsia="Calibri" w:hAnsi="Calibri" w:cs="Calibri"/>
        </w:rPr>
        <w:t xml:space="preserve">that </w:t>
      </w:r>
      <w:r w:rsidR="0B57BD1C" w:rsidRPr="5EB0F08C">
        <w:rPr>
          <w:rFonts w:ascii="Calibri" w:eastAsia="Calibri" w:hAnsi="Calibri" w:cs="Calibri"/>
        </w:rPr>
        <w:t>conside</w:t>
      </w:r>
      <w:r w:rsidR="07486C28" w:rsidRPr="5EB0F08C">
        <w:rPr>
          <w:rFonts w:ascii="Calibri" w:eastAsia="Calibri" w:hAnsi="Calibri" w:cs="Calibri"/>
        </w:rPr>
        <w:t>rs</w:t>
      </w:r>
      <w:r w:rsidR="008E5CFA" w:rsidRPr="641E8D60">
        <w:rPr>
          <w:rFonts w:ascii="Calibri" w:eastAsia="Calibri" w:hAnsi="Calibri" w:cs="Calibri"/>
        </w:rPr>
        <w:t xml:space="preserve"> </w:t>
      </w:r>
      <w:r w:rsidR="0010758A">
        <w:rPr>
          <w:rFonts w:ascii="Calibri" w:eastAsia="Calibri" w:hAnsi="Calibri" w:cs="Calibri"/>
        </w:rPr>
        <w:t xml:space="preserve">the </w:t>
      </w:r>
      <w:r w:rsidR="008E5CFA" w:rsidRPr="641E8D60">
        <w:rPr>
          <w:rFonts w:ascii="Calibri" w:eastAsia="Calibri" w:hAnsi="Calibri" w:cs="Calibri"/>
        </w:rPr>
        <w:t xml:space="preserve">cultural and </w:t>
      </w:r>
      <w:r w:rsidR="008E5CFA" w:rsidRPr="39AD6E97">
        <w:rPr>
          <w:rFonts w:ascii="Calibri" w:eastAsia="Calibri" w:hAnsi="Calibri" w:cs="Calibri"/>
        </w:rPr>
        <w:t>linguistic</w:t>
      </w:r>
      <w:r w:rsidR="008E5CFA" w:rsidRPr="641E8D60">
        <w:rPr>
          <w:rFonts w:ascii="Calibri" w:eastAsia="Calibri" w:hAnsi="Calibri" w:cs="Calibri"/>
        </w:rPr>
        <w:t xml:space="preserve"> needs of the Austin/Travis County community</w:t>
      </w:r>
      <w:r w:rsidR="0A3A7E83" w:rsidRPr="5EB0F08C">
        <w:rPr>
          <w:rFonts w:ascii="Calibri" w:eastAsia="Calibri" w:hAnsi="Calibri" w:cs="Calibri"/>
        </w:rPr>
        <w:t>.</w:t>
      </w:r>
      <w:r w:rsidR="3B19E396" w:rsidRPr="18108FD9">
        <w:rPr>
          <w:rFonts w:ascii="Calibri" w:eastAsia="Calibri" w:hAnsi="Calibri" w:cs="Calibri"/>
        </w:rPr>
        <w:t xml:space="preserve"> </w:t>
      </w:r>
      <w:r w:rsidR="0010758A">
        <w:rPr>
          <w:rFonts w:ascii="Calibri" w:eastAsia="Calibri" w:hAnsi="Calibri" w:cs="Calibri"/>
        </w:rPr>
        <w:t>Outreach e</w:t>
      </w:r>
      <w:r w:rsidR="008E5CFA" w:rsidRPr="641E8D60">
        <w:rPr>
          <w:rFonts w:ascii="Calibri" w:eastAsia="Calibri" w:hAnsi="Calibri" w:cs="Calibri"/>
        </w:rPr>
        <w:t xml:space="preserve">fforts focus on those who are at </w:t>
      </w:r>
      <w:r w:rsidR="0010758A">
        <w:rPr>
          <w:rFonts w:ascii="Calibri" w:eastAsia="Calibri" w:hAnsi="Calibri" w:cs="Calibri"/>
        </w:rPr>
        <w:t>i</w:t>
      </w:r>
      <w:r w:rsidR="008E5CFA" w:rsidRPr="641E8D60">
        <w:rPr>
          <w:rFonts w:ascii="Calibri" w:eastAsia="Calibri" w:hAnsi="Calibri" w:cs="Calibri"/>
        </w:rPr>
        <w:t>ncreased risk for severe disease and partnering with community groups,</w:t>
      </w:r>
      <w:r w:rsidR="0010758A">
        <w:rPr>
          <w:rFonts w:ascii="Calibri" w:eastAsia="Calibri" w:hAnsi="Calibri" w:cs="Calibri"/>
        </w:rPr>
        <w:t xml:space="preserve"> </w:t>
      </w:r>
      <w:r w:rsidR="008E5CFA" w:rsidRPr="641E8D60">
        <w:rPr>
          <w:rFonts w:ascii="Calibri" w:eastAsia="Calibri" w:hAnsi="Calibri" w:cs="Calibri"/>
        </w:rPr>
        <w:t>vaccine providers</w:t>
      </w:r>
      <w:r w:rsidR="0010758A">
        <w:rPr>
          <w:rFonts w:ascii="Calibri" w:eastAsia="Calibri" w:hAnsi="Calibri" w:cs="Calibri"/>
        </w:rPr>
        <w:t>,</w:t>
      </w:r>
      <w:r w:rsidR="008E5CFA" w:rsidRPr="641E8D60">
        <w:rPr>
          <w:rFonts w:ascii="Calibri" w:eastAsia="Calibri" w:hAnsi="Calibri" w:cs="Calibri"/>
        </w:rPr>
        <w:t xml:space="preserve"> and the Emergency Operations Center (EOC) Social Services Branch to lead partner activation and engage with groups disproportionately impacted by the pandemic, those with limited access to vaccine, hard to reach populations, and those that are vaccine hesitant. The campaign will follow a phased approach that mimics the phases of vaccine distribution outlined by the CDC. </w:t>
      </w:r>
    </w:p>
    <w:p w14:paraId="6E685C51" w14:textId="1FCAF9C5" w:rsidR="008E5CFA" w:rsidRDefault="008E5CFA" w:rsidP="008E5CFA">
      <w:pPr>
        <w:pStyle w:val="ListParagraph"/>
        <w:numPr>
          <w:ilvl w:val="0"/>
          <w:numId w:val="3"/>
        </w:numPr>
        <w:rPr>
          <w:rFonts w:eastAsiaTheme="minorEastAsia"/>
        </w:rPr>
      </w:pPr>
      <w:r w:rsidRPr="65D0A5CF">
        <w:rPr>
          <w:b/>
          <w:bCs/>
        </w:rPr>
        <w:t>Phase 1:</w:t>
      </w:r>
      <w:r>
        <w:t xml:space="preserve"> Campaign messaging will focus on </w:t>
      </w:r>
      <w:r w:rsidRPr="0003113A">
        <w:rPr>
          <w:i/>
          <w:iCs/>
        </w:rPr>
        <w:t>1)</w:t>
      </w:r>
      <w:r>
        <w:t xml:space="preserve"> </w:t>
      </w:r>
      <w:r w:rsidRPr="0003113A">
        <w:rPr>
          <w:i/>
          <w:iCs/>
        </w:rPr>
        <w:t xml:space="preserve">setting expectations </w:t>
      </w:r>
      <w:r>
        <w:t>as i</w:t>
      </w:r>
      <w:r w:rsidRPr="0003113A">
        <w:rPr>
          <w:rFonts w:ascii="Calibri" w:eastAsia="Calibri" w:hAnsi="Calibri" w:cs="Calibri"/>
        </w:rPr>
        <w:t>nitial supply of the COVID-19 vaccine will be limited</w:t>
      </w:r>
      <w:r w:rsidRPr="65D0A5CF">
        <w:rPr>
          <w:rFonts w:ascii="Calibri" w:eastAsia="Calibri" w:hAnsi="Calibri" w:cs="Calibri"/>
        </w:rPr>
        <w:t xml:space="preserve"> and </w:t>
      </w:r>
      <w:r w:rsidRPr="0003113A">
        <w:rPr>
          <w:rFonts w:ascii="Calibri" w:eastAsia="Calibri" w:hAnsi="Calibri" w:cs="Calibri"/>
          <w:i/>
          <w:iCs/>
        </w:rPr>
        <w:t>2)</w:t>
      </w:r>
      <w:r w:rsidRPr="65D0A5CF">
        <w:rPr>
          <w:rFonts w:ascii="Calibri" w:eastAsia="Calibri" w:hAnsi="Calibri" w:cs="Calibri"/>
        </w:rPr>
        <w:t xml:space="preserve"> </w:t>
      </w:r>
      <w:r w:rsidRPr="0003113A">
        <w:rPr>
          <w:rFonts w:ascii="Calibri" w:eastAsia="Calibri" w:hAnsi="Calibri" w:cs="Calibri"/>
          <w:i/>
          <w:iCs/>
        </w:rPr>
        <w:t>continued precautions</w:t>
      </w:r>
      <w:r w:rsidRPr="65D0A5CF">
        <w:rPr>
          <w:rFonts w:ascii="Calibri" w:eastAsia="Calibri" w:hAnsi="Calibri" w:cs="Calibri"/>
        </w:rPr>
        <w:t xml:space="preserve"> as social distancing, masking, and hygiene </w:t>
      </w:r>
    </w:p>
    <w:p w14:paraId="34AA88F6" w14:textId="25C88382" w:rsidR="008E5CFA" w:rsidRDefault="008E5CFA" w:rsidP="008E5CFA">
      <w:pPr>
        <w:pStyle w:val="ListParagraph"/>
        <w:numPr>
          <w:ilvl w:val="0"/>
          <w:numId w:val="3"/>
        </w:numPr>
        <w:rPr>
          <w:b/>
          <w:bCs/>
        </w:rPr>
      </w:pPr>
      <w:r w:rsidRPr="65D0A5CF">
        <w:rPr>
          <w:b/>
          <w:bCs/>
        </w:rPr>
        <w:t>Phase 2:</w:t>
      </w:r>
      <w:r>
        <w:t xml:space="preserve"> Campaign messaging will focus on </w:t>
      </w:r>
      <w:r w:rsidRPr="0003113A">
        <w:rPr>
          <w:i/>
          <w:iCs/>
        </w:rPr>
        <w:t>1) patient education</w:t>
      </w:r>
      <w:r>
        <w:t xml:space="preserve"> such as safety standards, dose requirements, and immune response and </w:t>
      </w:r>
      <w:r w:rsidRPr="0003113A">
        <w:rPr>
          <w:i/>
          <w:iCs/>
        </w:rPr>
        <w:t xml:space="preserve">2) operational details </w:t>
      </w:r>
      <w:r>
        <w:t>including provider locations and vaccine availability.</w:t>
      </w:r>
    </w:p>
    <w:p w14:paraId="0D5510D3" w14:textId="6FCA9E44" w:rsidR="008E5CFA" w:rsidRPr="00A40CE1" w:rsidRDefault="008E5CFA" w:rsidP="008E5CFA">
      <w:pPr>
        <w:pStyle w:val="ListParagraph"/>
        <w:numPr>
          <w:ilvl w:val="0"/>
          <w:numId w:val="3"/>
        </w:numPr>
        <w:rPr>
          <w:b/>
        </w:rPr>
      </w:pPr>
      <w:r w:rsidRPr="65D0A5CF">
        <w:rPr>
          <w:b/>
          <w:bCs/>
        </w:rPr>
        <w:t>Phase 3</w:t>
      </w:r>
      <w:r w:rsidRPr="0003113A">
        <w:rPr>
          <w:b/>
          <w:bCs/>
        </w:rPr>
        <w:t xml:space="preserve">: </w:t>
      </w:r>
      <w:r>
        <w:t xml:space="preserve">Campaign messaging will continue to focus on </w:t>
      </w:r>
      <w:r w:rsidRPr="0003113A">
        <w:rPr>
          <w:i/>
          <w:iCs/>
        </w:rPr>
        <w:t>1) patient education</w:t>
      </w:r>
      <w:r>
        <w:t xml:space="preserve"> and </w:t>
      </w:r>
      <w:r w:rsidRPr="0003113A">
        <w:rPr>
          <w:i/>
          <w:iCs/>
        </w:rPr>
        <w:t>2) operational details</w:t>
      </w:r>
      <w:r>
        <w:t xml:space="preserve"> to emphasize vaccine safety and dose requirements, as well as </w:t>
      </w:r>
      <w:r w:rsidRPr="0003113A">
        <w:rPr>
          <w:i/>
          <w:iCs/>
        </w:rPr>
        <w:t>3) metrics for hope</w:t>
      </w:r>
      <w:r>
        <w:t xml:space="preserve"> to guide a return to normalcy through vaccine acceptance and herd immunity.</w:t>
      </w:r>
    </w:p>
    <w:p w14:paraId="13731EC2" w14:textId="2B4268CB" w:rsidR="008E5CFA" w:rsidRPr="00A169F3" w:rsidRDefault="008E5CFA" w:rsidP="008E5CFA">
      <w:pPr>
        <w:pStyle w:val="ListParagraph"/>
        <w:numPr>
          <w:ilvl w:val="0"/>
          <w:numId w:val="3"/>
        </w:numPr>
        <w:rPr>
          <w:b/>
          <w:bCs/>
        </w:rPr>
      </w:pPr>
      <w:r>
        <w:rPr>
          <w:b/>
          <w:bCs/>
        </w:rPr>
        <w:t xml:space="preserve">Phase 4: </w:t>
      </w:r>
      <w:r w:rsidRPr="00E200DA">
        <w:t xml:space="preserve">Campaign messaging will continue to focus on </w:t>
      </w:r>
      <w:r w:rsidRPr="00E200DA">
        <w:rPr>
          <w:i/>
          <w:iCs/>
        </w:rPr>
        <w:t>1) community education</w:t>
      </w:r>
      <w:r>
        <w:rPr>
          <w:i/>
          <w:iCs/>
        </w:rPr>
        <w:t xml:space="preserve"> </w:t>
      </w:r>
      <w:r>
        <w:t>to encourage people to get vaccin</w:t>
      </w:r>
      <w:r w:rsidR="56F13821">
        <w:t>ated</w:t>
      </w:r>
      <w:r w:rsidRPr="00E200DA">
        <w:t xml:space="preserve">, </w:t>
      </w:r>
      <w:r w:rsidRPr="00E200DA">
        <w:rPr>
          <w:i/>
          <w:iCs/>
        </w:rPr>
        <w:t>2) operational details</w:t>
      </w:r>
      <w:r>
        <w:rPr>
          <w:i/>
          <w:iCs/>
        </w:rPr>
        <w:t xml:space="preserve"> </w:t>
      </w:r>
      <w:r>
        <w:t>to provide incentives to those currently unvaccinated to get vaccinated and expanding operations to account for increase in site capacity to provide 3</w:t>
      </w:r>
      <w:r w:rsidRPr="00E200DA">
        <w:rPr>
          <w:vertAlign w:val="superscript"/>
        </w:rPr>
        <w:t>rd</w:t>
      </w:r>
      <w:r>
        <w:t xml:space="preserve"> doses</w:t>
      </w:r>
      <w:r w:rsidRPr="00E200DA">
        <w:rPr>
          <w:i/>
          <w:iCs/>
        </w:rPr>
        <w:t>,</w:t>
      </w:r>
      <w:r>
        <w:rPr>
          <w:i/>
          <w:iCs/>
        </w:rPr>
        <w:t xml:space="preserve"> 3) continuous precautions </w:t>
      </w:r>
      <w:r w:rsidR="15E17F08">
        <w:t>such a</w:t>
      </w:r>
      <w:r>
        <w:t>s masking, proper hygiene, and avoiding large crowds</w:t>
      </w:r>
      <w:r>
        <w:rPr>
          <w:i/>
          <w:iCs/>
        </w:rPr>
        <w:t xml:space="preserve">, </w:t>
      </w:r>
      <w:r>
        <w:t xml:space="preserve">and </w:t>
      </w:r>
      <w:r>
        <w:rPr>
          <w:i/>
          <w:iCs/>
        </w:rPr>
        <w:t>4) metrics for hope</w:t>
      </w:r>
      <w:r>
        <w:t xml:space="preserve"> to guide a return to normalcy through vaccine acceptance and herd immunity.</w:t>
      </w:r>
    </w:p>
    <w:p w14:paraId="71131847" w14:textId="33436462" w:rsidR="00450740" w:rsidRDefault="00450740" w:rsidP="195A67CE">
      <w:pPr>
        <w:rPr>
          <w:b/>
          <w:bCs/>
        </w:rPr>
      </w:pPr>
    </w:p>
    <w:p w14:paraId="5AC03857" w14:textId="7D1F595E" w:rsidR="005176F9" w:rsidRDefault="005176F9" w:rsidP="0058021E">
      <w:pPr>
        <w:ind w:firstLine="360"/>
      </w:pPr>
      <w:r w:rsidRPr="005176F9">
        <w:t xml:space="preserve">With the support of </w:t>
      </w:r>
      <w:r w:rsidR="00570505">
        <w:t xml:space="preserve">the </w:t>
      </w:r>
      <w:r w:rsidRPr="005176F9">
        <w:t xml:space="preserve">APH Education &amp; Vaccination Program’s Research &amp; Planning team we are gathering data using public surveys. The surveys cover questions such as the </w:t>
      </w:r>
      <w:r w:rsidR="49AE7590">
        <w:t>participant</w:t>
      </w:r>
      <w:r w:rsidR="19507980">
        <w:t>’</w:t>
      </w:r>
      <w:r w:rsidR="49AE7590">
        <w:t>s</w:t>
      </w:r>
      <w:r w:rsidRPr="005176F9">
        <w:t xml:space="preserve"> location, beliefs on the vaccine and COVID-19, and demographic information. The collected vaccination data is </w:t>
      </w:r>
      <w:r w:rsidRPr="005176F9">
        <w:lastRenderedPageBreak/>
        <w:t xml:space="preserve">analyzed by race, ethnicity, zip code, and qualitative data concerning vaccine readiness. </w:t>
      </w:r>
      <w:r>
        <w:t>The data from these surveys a</w:t>
      </w:r>
      <w:r w:rsidR="169861F9">
        <w:t>nd</w:t>
      </w:r>
      <w:r>
        <w:t xml:space="preserve"> local COVID-19 health data is being used to inform strategies addressing vaccine hesitancy, education, and </w:t>
      </w:r>
      <w:r w:rsidR="0418A1DF">
        <w:t>to</w:t>
      </w:r>
      <w:r w:rsidR="6942FAB5">
        <w:t xml:space="preserve"> </w:t>
      </w:r>
      <w:r>
        <w:t>identify populations disproportionally impacted by COVID-19. The</w:t>
      </w:r>
      <w:r w:rsidRPr="005176F9">
        <w:t xml:space="preserve"> results will build on current practices to inform both public outreach efforts and targeted interventions undertaken by the APH COVID-19 Education Team. The Education Team coordinates with the APH Mobile Vaccination Program strike teams to engage with vaccine hesitant populations offering education events or focus groups to address concerns, answer questions, combat misinformation, and encourage vaccination.</w:t>
      </w:r>
    </w:p>
    <w:p w14:paraId="6577D386" w14:textId="47246840" w:rsidR="00AE7FA7" w:rsidRDefault="00AD4C7E" w:rsidP="0058021E">
      <w:pPr>
        <w:ind w:firstLine="360"/>
      </w:pPr>
      <w:r>
        <w:t>The Health Equity Task Force continues to work with the COVID-19 Education &amp; Vaccination Program to bring vaccine resources to zip codes at less than 50% first dose penetration.  Outreach events</w:t>
      </w:r>
      <w:r w:rsidR="00FF1793">
        <w:t xml:space="preserve"> </w:t>
      </w:r>
      <w:r>
        <w:t xml:space="preserve">continue to be an important tool to support protective behaviors, meet basic needs and provide information about </w:t>
      </w:r>
      <w:r w:rsidR="00FF1793">
        <w:t xml:space="preserve">the COVID-19 </w:t>
      </w:r>
      <w:r>
        <w:t xml:space="preserve">vaccine.  </w:t>
      </w:r>
    </w:p>
    <w:p w14:paraId="5A6F1BAB" w14:textId="77777777" w:rsidR="0004016D" w:rsidRDefault="00AE7FA7" w:rsidP="00C3573C">
      <w:pPr>
        <w:ind w:firstLine="360"/>
      </w:pPr>
      <w:r>
        <w:t>Austin Public Health is also promot</w:t>
      </w:r>
      <w:r w:rsidR="00D55FDC">
        <w:t>ing</w:t>
      </w:r>
      <w:r>
        <w:t xml:space="preserve"> vaccines using focused messaging</w:t>
      </w:r>
      <w:r w:rsidR="00D55FDC">
        <w:t xml:space="preserve">, </w:t>
      </w:r>
      <w:r>
        <w:t>paid advertising</w:t>
      </w:r>
      <w:r w:rsidR="00D55FDC">
        <w:t>,</w:t>
      </w:r>
      <w:r>
        <w:t xml:space="preserve"> and leveraging partnerships. For example, Austin Public Health partnered with Travis County, Central Health, and CommUnityCare to launch the “Let’s Stick Together” initiative on June 28. The initiative aims to achieve the community-focused goal of 70% of eligible Travis County residents receiving at least one dose of the vaccine by July 4</w:t>
      </w:r>
      <w:r w:rsidR="00C3573C" w:rsidRPr="00C3573C">
        <w:rPr>
          <w:vertAlign w:val="superscript"/>
        </w:rPr>
        <w:t>th</w:t>
      </w:r>
      <w:r>
        <w:t xml:space="preserve"> and 70% of residents fully vaccinated by </w:t>
      </w:r>
      <w:r w:rsidR="00C3573C">
        <w:t>September 6</w:t>
      </w:r>
      <w:r w:rsidR="00C3573C" w:rsidRPr="00C3573C">
        <w:rPr>
          <w:vertAlign w:val="superscript"/>
        </w:rPr>
        <w:t>th</w:t>
      </w:r>
      <w:r>
        <w:t xml:space="preserve">. Additional </w:t>
      </w:r>
      <w:r w:rsidR="00C3573C">
        <w:t xml:space="preserve">local </w:t>
      </w:r>
      <w:r>
        <w:t xml:space="preserve">organizations were involved in contributing to the initiative, including Ascension Seton, Austin Independent School District, Baylor Scott &amp; White, Capital Metro, Dell Medical School, Del Valle Independent School District, Integral Care, Lone Star Circle of Care, People’s Community Clinic, St. David’s HealthCare, St. David’s Foundation, and the University of Texas at Austin. As part of the “Let’s Stick Together” initiative, Austin Public Health and Central Health </w:t>
      </w:r>
      <w:r w:rsidR="00C3573C">
        <w:t>pl</w:t>
      </w:r>
      <w:r w:rsidR="0004016D">
        <w:t>aced</w:t>
      </w:r>
      <w:r>
        <w:t xml:space="preserve"> targeted advertising on </w:t>
      </w:r>
      <w:r w:rsidR="0004016D">
        <w:t xml:space="preserve">the </w:t>
      </w:r>
      <w:r>
        <w:t xml:space="preserve">radio, in print, and online in both Spanish and English. </w:t>
      </w:r>
    </w:p>
    <w:p w14:paraId="098ED463" w14:textId="5344F7EE" w:rsidR="00324484" w:rsidRDefault="00AE7FA7" w:rsidP="0058021E">
      <w:pPr>
        <w:ind w:firstLine="360"/>
      </w:pPr>
      <w:r>
        <w:t xml:space="preserve">To date, Austin Public Health has utilized television signals, radio frequencies, publications, websites, streaming platforms, email distribution lists, social media platforms, texting, and public transportation for paid advertising efforts.  </w:t>
      </w:r>
    </w:p>
    <w:p w14:paraId="1EE1BAE1" w14:textId="41C2F70D" w:rsidR="00324484" w:rsidRDefault="00324484" w:rsidP="00324484">
      <w:r>
        <w:t xml:space="preserve">Current Communication Strategies Include: </w:t>
      </w:r>
    </w:p>
    <w:p w14:paraId="0C7A8079" w14:textId="6D2773DE" w:rsidR="00324484" w:rsidRDefault="00324484" w:rsidP="0058021E">
      <w:pPr>
        <w:pStyle w:val="ListParagraph"/>
        <w:numPr>
          <w:ilvl w:val="0"/>
          <w:numId w:val="12"/>
        </w:numPr>
      </w:pPr>
      <w:r>
        <w:t>Promoting walk-up and pop-up vaccination events, with paid radio promotions and paid social media</w:t>
      </w:r>
      <w:r w:rsidR="00AD6661">
        <w:t xml:space="preserve"> campaigns,</w:t>
      </w:r>
      <w:r>
        <w:t xml:space="preserve"> and texting that is zip code geofenced to the area in which vaccines are being provided. </w:t>
      </w:r>
    </w:p>
    <w:p w14:paraId="450ABB97" w14:textId="085E51FF" w:rsidR="00324484" w:rsidRDefault="00324484" w:rsidP="0058021E">
      <w:pPr>
        <w:pStyle w:val="ListParagraph"/>
        <w:numPr>
          <w:ilvl w:val="0"/>
          <w:numId w:val="12"/>
        </w:numPr>
      </w:pPr>
      <w:r>
        <w:t>Encouraging people to prepare for travel by getting</w:t>
      </w:r>
      <w:r w:rsidR="00AD6661">
        <w:t xml:space="preserve"> fully</w:t>
      </w:r>
      <w:r>
        <w:t xml:space="preserve"> vaccinated, including information that it takes two weeks after the second shot for Pfizer and Moderna or two weeks after the single-shot Johnson &amp; Johnson to be considered fully vaccinated. </w:t>
      </w:r>
    </w:p>
    <w:p w14:paraId="2B1DCF80" w14:textId="7F4EC6CC" w:rsidR="00324484" w:rsidRDefault="00324484" w:rsidP="00324484">
      <w:pPr>
        <w:pStyle w:val="ListParagraph"/>
        <w:numPr>
          <w:ilvl w:val="0"/>
          <w:numId w:val="12"/>
        </w:numPr>
      </w:pPr>
      <w:r>
        <w:t>Providing the Equity Task Force</w:t>
      </w:r>
      <w:r w:rsidR="00E35E88">
        <w:t xml:space="preserve"> with</w:t>
      </w:r>
      <w:r>
        <w:t xml:space="preserve"> educational materials to address hesitancy and combat misinformation. Content </w:t>
      </w:r>
      <w:proofErr w:type="gramStart"/>
      <w:r>
        <w:t>includes</w:t>
      </w:r>
      <w:r w:rsidR="00E35E88">
        <w:t>, but</w:t>
      </w:r>
      <w:proofErr w:type="gramEnd"/>
      <w:r w:rsidR="00E35E88">
        <w:t xml:space="preserve"> is not limited to;</w:t>
      </w:r>
      <w:r>
        <w:t xml:space="preserve"> educational materials to address community feedback such as concerns with infertility, severe side effects, </w:t>
      </w:r>
      <w:r w:rsidR="00E35E88">
        <w:t xml:space="preserve">vaccine development, </w:t>
      </w:r>
      <w:r>
        <w:t xml:space="preserve">and how the vaccine works with your body to protect you from disease. </w:t>
      </w:r>
    </w:p>
    <w:p w14:paraId="1813D0F8" w14:textId="5D1E9846" w:rsidR="00AE1A88" w:rsidRPr="00E16CB2" w:rsidRDefault="00324484" w:rsidP="007A6B6C">
      <w:pPr>
        <w:pStyle w:val="ListParagraph"/>
        <w:numPr>
          <w:ilvl w:val="0"/>
          <w:numId w:val="12"/>
        </w:numPr>
        <w:rPr>
          <w:rFonts w:ascii="Calibri" w:eastAsia="Calibri" w:hAnsi="Calibri" w:cs="Calibri"/>
        </w:rPr>
      </w:pPr>
      <w:r>
        <w:t>Continuing to encourage proper hygiene (washing your hands, not touching your face, wearing a mask,</w:t>
      </w:r>
      <w:r w:rsidR="000153C6">
        <w:t xml:space="preserve"> and social distancing) </w:t>
      </w:r>
      <w:r>
        <w:t>as well as information on testing</w:t>
      </w:r>
      <w:r w:rsidR="000153C6">
        <w:t>, quarantine, and isolat</w:t>
      </w:r>
      <w:r w:rsidR="00BE3DD2">
        <w:t xml:space="preserve">ing if you </w:t>
      </w:r>
      <w:proofErr w:type="gramStart"/>
      <w:r w:rsidR="00BE3DD2">
        <w:t>come in contact with</w:t>
      </w:r>
      <w:proofErr w:type="gramEnd"/>
      <w:r w:rsidR="00BE3DD2">
        <w:t xml:space="preserve"> someone who has symptoms or has tested positive for COVID-19. </w:t>
      </w:r>
      <w:r>
        <w:t xml:space="preserve"> </w:t>
      </w:r>
    </w:p>
    <w:p w14:paraId="3B7104BA" w14:textId="77777777" w:rsidR="00E16CB2" w:rsidRPr="00BE3DD2" w:rsidRDefault="00E16CB2" w:rsidP="00E16CB2">
      <w:pPr>
        <w:pStyle w:val="ListParagraph"/>
        <w:rPr>
          <w:rFonts w:ascii="Calibri" w:eastAsia="Calibri" w:hAnsi="Calibri" w:cs="Calibri"/>
        </w:rPr>
      </w:pPr>
    </w:p>
    <w:p w14:paraId="63776A14" w14:textId="5E237832" w:rsidR="00514FBC" w:rsidRDefault="00514FBC" w:rsidP="00514FBC">
      <w:pPr>
        <w:pStyle w:val="Heading1"/>
      </w:pPr>
      <w:bookmarkStart w:id="3" w:name="_Toc83281164"/>
      <w:r w:rsidRPr="7BA2F75E">
        <w:t xml:space="preserve">Section </w:t>
      </w:r>
      <w:r w:rsidR="00C61A9D">
        <w:t>2</w:t>
      </w:r>
      <w:r w:rsidRPr="7BA2F75E">
        <w:t xml:space="preserve">: COVID-19 </w:t>
      </w:r>
      <w:r>
        <w:t xml:space="preserve">Vaccination Third-dose </w:t>
      </w:r>
      <w:r w:rsidR="000F1C5C">
        <w:t xml:space="preserve">Administration, </w:t>
      </w:r>
      <w:r>
        <w:t>Scheduling</w:t>
      </w:r>
      <w:r w:rsidR="000F1C5C">
        <w:t>,</w:t>
      </w:r>
      <w:r>
        <w:t xml:space="preserve"> and Reminders</w:t>
      </w:r>
      <w:bookmarkEnd w:id="3"/>
    </w:p>
    <w:p w14:paraId="5C32432F" w14:textId="3BFFD9CC" w:rsidR="0098704F" w:rsidRDefault="0098704F" w:rsidP="00DD00DD">
      <w:pPr>
        <w:rPr>
          <w:b/>
          <w:bCs/>
        </w:rPr>
      </w:pPr>
    </w:p>
    <w:p w14:paraId="3DE9DFCF" w14:textId="618A881E" w:rsidR="00DD00DD" w:rsidRDefault="00DD00DD" w:rsidP="0058021E">
      <w:pPr>
        <w:ind w:firstLine="720"/>
      </w:pPr>
      <w:r>
        <w:t>On August 13, 2021, the CDC recommended that people who are moderately to severely immunocompromised receive an additional dose of an mRNA COVID-19 Vaccine (Pfizer-BioNTech or Moderna).</w:t>
      </w:r>
      <w:r w:rsidR="007A4637">
        <w:t xml:space="preserve"> According to the CDC, moderately to </w:t>
      </w:r>
      <w:r w:rsidR="00ED70F7">
        <w:t>severely</w:t>
      </w:r>
      <w:r w:rsidR="007A4637">
        <w:t xml:space="preserve"> immunocompromised people are more at risk of serious, prolonged disease and may benefit from an additional dose to</w:t>
      </w:r>
      <w:r w:rsidR="0004595F">
        <w:t xml:space="preserve"> ensure they have adequate protection against COVID-19.</w:t>
      </w:r>
      <w:r w:rsidR="007A4637">
        <w:t xml:space="preserve"> </w:t>
      </w:r>
      <w:r>
        <w:t xml:space="preserve"> The third dose should be administered at least 28 days after the completion of the initial mRNA COVID-19 vaccine series in immunocompromised individuals. </w:t>
      </w:r>
    </w:p>
    <w:p w14:paraId="222AFB87" w14:textId="77777777" w:rsidR="00DD00DD" w:rsidRDefault="00DD00DD" w:rsidP="00A0501A">
      <w:pPr>
        <w:ind w:firstLine="720"/>
      </w:pPr>
      <w:r>
        <w:t>Current recommendations for immunocompromised individuals who are advised to receive an additional dose include people who have:</w:t>
      </w:r>
    </w:p>
    <w:p w14:paraId="66003857" w14:textId="77777777" w:rsidR="00DD00DD" w:rsidRDefault="00DD00DD" w:rsidP="00DD00DD">
      <w:pPr>
        <w:pStyle w:val="ListParagraph"/>
        <w:numPr>
          <w:ilvl w:val="0"/>
          <w:numId w:val="10"/>
        </w:numPr>
        <w:spacing w:line="256" w:lineRule="auto"/>
      </w:pPr>
      <w:r>
        <w:t>Active treatment for solid tumor and hematologic malignancies</w:t>
      </w:r>
    </w:p>
    <w:p w14:paraId="317E5AB1" w14:textId="77777777" w:rsidR="00DD00DD" w:rsidRDefault="00DD00DD" w:rsidP="00DD00DD">
      <w:pPr>
        <w:pStyle w:val="ListParagraph"/>
        <w:numPr>
          <w:ilvl w:val="0"/>
          <w:numId w:val="10"/>
        </w:numPr>
        <w:spacing w:line="256" w:lineRule="auto"/>
      </w:pPr>
      <w:r>
        <w:t>Receipt of solid-organ transplant and taking immunosuppressive therapy</w:t>
      </w:r>
    </w:p>
    <w:p w14:paraId="576A0028" w14:textId="77777777" w:rsidR="00DD00DD" w:rsidRDefault="00DD00DD" w:rsidP="00DD00DD">
      <w:pPr>
        <w:pStyle w:val="ListParagraph"/>
        <w:numPr>
          <w:ilvl w:val="0"/>
          <w:numId w:val="10"/>
        </w:numPr>
        <w:spacing w:line="256" w:lineRule="auto"/>
      </w:pPr>
      <w:r>
        <w:t>Receipt of CAR-T-cell or hematopoietic stem cell transplant (within 2 years of transplantation or taking immunosuppression therapy)</w:t>
      </w:r>
    </w:p>
    <w:p w14:paraId="1894DFCA" w14:textId="77777777" w:rsidR="00DD00DD" w:rsidRDefault="00DD00DD" w:rsidP="00DD00DD">
      <w:pPr>
        <w:pStyle w:val="ListParagraph"/>
        <w:numPr>
          <w:ilvl w:val="0"/>
          <w:numId w:val="10"/>
        </w:numPr>
        <w:spacing w:line="256" w:lineRule="auto"/>
      </w:pPr>
      <w:r>
        <w:t xml:space="preserve">Moderate or severe primary immunodeficiency (e.g., DiGeorge syndrome, </w:t>
      </w:r>
      <w:proofErr w:type="spellStart"/>
      <w:r>
        <w:t>Wiskott</w:t>
      </w:r>
      <w:proofErr w:type="spellEnd"/>
      <w:r>
        <w:t>-Aldrich syndrome)</w:t>
      </w:r>
    </w:p>
    <w:p w14:paraId="225A1962" w14:textId="77777777" w:rsidR="00DD00DD" w:rsidRDefault="00DD00DD" w:rsidP="00DD00DD">
      <w:pPr>
        <w:pStyle w:val="ListParagraph"/>
        <w:numPr>
          <w:ilvl w:val="0"/>
          <w:numId w:val="10"/>
        </w:numPr>
        <w:spacing w:line="256" w:lineRule="auto"/>
      </w:pPr>
      <w:r>
        <w:t>Advanced or untreated HIV infection</w:t>
      </w:r>
    </w:p>
    <w:p w14:paraId="758C85A3" w14:textId="77777777" w:rsidR="00DD00DD" w:rsidRDefault="00DD00DD" w:rsidP="00DD00DD">
      <w:pPr>
        <w:pStyle w:val="ListParagraph"/>
        <w:numPr>
          <w:ilvl w:val="0"/>
          <w:numId w:val="10"/>
        </w:numPr>
        <w:spacing w:line="256" w:lineRule="auto"/>
      </w:pPr>
      <w:r>
        <w:t>Active treatment with high-dose corticosteroids (i.e., ≥20mg prednisone or equivalent per day), alkylating agents, antimetabolites, transplant-related immunosuppressive drugs, cancer chemotherapeutic agents classified as severely immunosuppressive, tumor-necrosis (TNF) blockers, and other biologic agents that are immunosuppressive or immunomodulatory.</w:t>
      </w:r>
    </w:p>
    <w:p w14:paraId="2AEFB188" w14:textId="6883BE86" w:rsidR="00DD00DD" w:rsidRDefault="00DD00DD" w:rsidP="00A0501A">
      <w:pPr>
        <w:ind w:firstLine="720"/>
      </w:pPr>
      <w:r>
        <w:t>APH advises immunocompromised individuals</w:t>
      </w:r>
      <w:r w:rsidR="002315EF">
        <w:t xml:space="preserve"> or those who unsure about their eligibility for a third dose</w:t>
      </w:r>
      <w:r>
        <w:t xml:space="preserve"> to speak with their healthcare provider about their medical condition and whether an additional dose is appropriate for them. Immunocompromised individuals who choose to receive their 3</w:t>
      </w:r>
      <w:r>
        <w:rPr>
          <w:vertAlign w:val="superscript"/>
        </w:rPr>
        <w:t>rd</w:t>
      </w:r>
      <w:r>
        <w:t xml:space="preserve"> dose at an APH vaccination site may self-attest to their immunocompromised status. </w:t>
      </w:r>
    </w:p>
    <w:p w14:paraId="487A76DD" w14:textId="77777777" w:rsidR="00DD00DD" w:rsidRDefault="00DD00DD" w:rsidP="00DD00DD"/>
    <w:p w14:paraId="6E6F2532" w14:textId="77777777" w:rsidR="006346D6" w:rsidRDefault="006346D6" w:rsidP="006346D6">
      <w:pPr>
        <w:rPr>
          <w:u w:val="single"/>
        </w:rPr>
      </w:pPr>
      <w:r>
        <w:rPr>
          <w:u w:val="single"/>
        </w:rPr>
        <w:t>COVID-19 Booster Dose Preparedness</w:t>
      </w:r>
    </w:p>
    <w:p w14:paraId="730F4339" w14:textId="77777777" w:rsidR="00570505" w:rsidRDefault="006346D6" w:rsidP="00570505">
      <w:pPr>
        <w:ind w:firstLine="720"/>
      </w:pPr>
      <w:r>
        <w:t>On August 18, 2021, experts from the U.S Health and Human Services Department released a statement on the Administration’s plan for COVID-19 booster doses. Per the statement, booster doses will be recommended for all individuals, pending an evaluation on the safety and effectiveness of a 3</w:t>
      </w:r>
      <w:r>
        <w:rPr>
          <w:vertAlign w:val="superscript"/>
        </w:rPr>
        <w:t>rd</w:t>
      </w:r>
      <w:r>
        <w:t xml:space="preserve"> dose of the Pfizer and Moderna mRNA vaccines by the FDA and the CDC’s Advisory Committee on Immunization Practices (ACIP). </w:t>
      </w:r>
      <w:r w:rsidR="00570505">
        <w:t>On September 24, 2021, the CDC recommended a booster shot of the Pfizer-BioNTech COVID-19 vaccine for certain populations at least 6 months after their primary vaccine series:</w:t>
      </w:r>
    </w:p>
    <w:p w14:paraId="2B92CDE8" w14:textId="77777777" w:rsidR="00570505" w:rsidRDefault="00570505" w:rsidP="00570505">
      <w:pPr>
        <w:pStyle w:val="ListParagraph"/>
        <w:numPr>
          <w:ilvl w:val="0"/>
          <w:numId w:val="13"/>
        </w:numPr>
      </w:pPr>
      <w:r>
        <w:lastRenderedPageBreak/>
        <w:t>People aged 65 and older</w:t>
      </w:r>
    </w:p>
    <w:p w14:paraId="39F1FBD9" w14:textId="77777777" w:rsidR="00570505" w:rsidRDefault="00570505" w:rsidP="00570505">
      <w:pPr>
        <w:pStyle w:val="ListParagraph"/>
        <w:numPr>
          <w:ilvl w:val="0"/>
          <w:numId w:val="13"/>
        </w:numPr>
      </w:pPr>
      <w:r>
        <w:t xml:space="preserve">Residents of long-term care facilities </w:t>
      </w:r>
    </w:p>
    <w:p w14:paraId="13578103" w14:textId="77777777" w:rsidR="00570505" w:rsidRDefault="00570505" w:rsidP="00570505">
      <w:pPr>
        <w:pStyle w:val="ListParagraph"/>
        <w:numPr>
          <w:ilvl w:val="0"/>
          <w:numId w:val="13"/>
        </w:numPr>
      </w:pPr>
      <w:r>
        <w:t>People aged 50-64 with underlying medical conditions (expand on what these are from CDC list)</w:t>
      </w:r>
    </w:p>
    <w:p w14:paraId="1EFD0704" w14:textId="77777777" w:rsidR="00570505" w:rsidRDefault="00570505" w:rsidP="00570505">
      <w:pPr>
        <w:pStyle w:val="ListParagraph"/>
        <w:numPr>
          <w:ilvl w:val="0"/>
          <w:numId w:val="13"/>
        </w:numPr>
      </w:pPr>
      <w:r>
        <w:t>People aged 18-49 with underlying medical conditions are also eligible</w:t>
      </w:r>
    </w:p>
    <w:p w14:paraId="6C02DD65" w14:textId="77777777" w:rsidR="00570505" w:rsidRDefault="00570505" w:rsidP="00570505">
      <w:pPr>
        <w:pStyle w:val="ListParagraph"/>
        <w:numPr>
          <w:ilvl w:val="0"/>
          <w:numId w:val="13"/>
        </w:numPr>
      </w:pPr>
      <w:r>
        <w:t>People aged 18-64 that are at high risk of exposure to COVID-19 due to occupation are also eligible</w:t>
      </w:r>
    </w:p>
    <w:p w14:paraId="1426AB39" w14:textId="7D5C0A6D" w:rsidR="000917C4" w:rsidRDefault="002A6772" w:rsidP="000917C4">
      <w:pPr>
        <w:ind w:firstLine="720"/>
      </w:pPr>
      <w:r>
        <w:t>While COVID-19 vaccines are effective at preventing severe illness, hospitalization, and death</w:t>
      </w:r>
      <w:r w:rsidR="00B03E19">
        <w:t xml:space="preserve">, the vaccines may provide reduced protection against </w:t>
      </w:r>
      <w:r w:rsidR="007644A2">
        <w:t>the Sars-CoV-2 virus and its variants over time</w:t>
      </w:r>
      <w:r w:rsidR="004E08BD">
        <w:t xml:space="preserve"> due to waning </w:t>
      </w:r>
      <w:r w:rsidR="00ED70F7">
        <w:t>immunity. Individuals</w:t>
      </w:r>
      <w:r w:rsidR="006346D6">
        <w:t xml:space="preserve"> who received these vaccines will be advised to receive a booster dose starting </w:t>
      </w:r>
      <w:r w:rsidR="000917C4">
        <w:t>6-</w:t>
      </w:r>
      <w:r w:rsidR="006346D6">
        <w:t xml:space="preserve">8 months after an individual’s second dose. </w:t>
      </w:r>
      <w:r w:rsidR="50A5744E">
        <w:t>It is recommended that individuals get the vaccine from the same manufacturer a</w:t>
      </w:r>
      <w:r w:rsidR="00ED319D">
        <w:t>s</w:t>
      </w:r>
      <w:r w:rsidR="50A5744E">
        <w:t xml:space="preserve"> their 1</w:t>
      </w:r>
      <w:r w:rsidR="50A5744E" w:rsidRPr="4C8B7E41">
        <w:rPr>
          <w:vertAlign w:val="superscript"/>
        </w:rPr>
        <w:t>st</w:t>
      </w:r>
      <w:r w:rsidR="50A5744E">
        <w:t xml:space="preserve"> and 2</w:t>
      </w:r>
      <w:r w:rsidR="50A5744E" w:rsidRPr="4C8B7E41">
        <w:rPr>
          <w:vertAlign w:val="superscript"/>
        </w:rPr>
        <w:t>nd</w:t>
      </w:r>
      <w:r w:rsidR="50A5744E">
        <w:t xml:space="preserve"> dose. </w:t>
      </w:r>
      <w:r w:rsidR="00570505">
        <w:t xml:space="preserve">The CDC has not yet made recommendations for people who received the Moderna or Johnson &amp; Johnson vaccines but data </w:t>
      </w:r>
      <w:r w:rsidR="006346D6">
        <w:t xml:space="preserve">regarding the necessity and timeline of booster dose administration for </w:t>
      </w:r>
      <w:r w:rsidR="00570505">
        <w:t>these vaccines</w:t>
      </w:r>
      <w:r w:rsidR="006346D6">
        <w:t xml:space="preserve"> is expected to be forthcoming in the coming weeks.</w:t>
      </w:r>
      <w:r w:rsidR="009E7168">
        <w:t xml:space="preserve"> </w:t>
      </w:r>
      <w:r w:rsidR="00261AA6">
        <w:t xml:space="preserve">APH will continue to evaluate the Capital Area COVID-19 Vaccine Distribution Strategy </w:t>
      </w:r>
      <w:r w:rsidR="00453A48">
        <w:t xml:space="preserve">as further recommendations and data are released. </w:t>
      </w:r>
    </w:p>
    <w:p w14:paraId="57D35D8E" w14:textId="54A32E13" w:rsidR="006346D6" w:rsidRDefault="006346D6" w:rsidP="009E7168">
      <w:pPr>
        <w:ind w:firstLine="360"/>
      </w:pPr>
      <w:r>
        <w:t>Lessons learned during the initial distribution of the COVID-19 vaccine have informed the way that APH is preparing for the administration of booster doses of the vaccine. When Austin/Travis County began COVID-19 vaccination, the goal was to serve as many people as possible while adhering to the guidelines from the State of Texas that determined eligibility criteria. However, APH suffered from a</w:t>
      </w:r>
      <w:r w:rsidR="009E7168">
        <w:t>n</w:t>
      </w:r>
      <w:r>
        <w:t xml:space="preserve"> incomplete appointment registration system, a lack of additional community COVID-19 vaccine providers, and the difficulty of meeting the overwhelming demand for the vaccine. The response effort quickly adapted</w:t>
      </w:r>
      <w:r w:rsidR="00005A6E">
        <w:t xml:space="preserve">, increasing the </w:t>
      </w:r>
      <w:r>
        <w:t>number of COVID-19 vaccination sites,</w:t>
      </w:r>
      <w:r w:rsidR="00005A6E">
        <w:t xml:space="preserve"> </w:t>
      </w:r>
      <w:r>
        <w:t>improv</w:t>
      </w:r>
      <w:r w:rsidR="00005A6E">
        <w:t>ing the</w:t>
      </w:r>
      <w:r>
        <w:t xml:space="preserve"> online registration system, and </w:t>
      </w:r>
      <w:r w:rsidR="6E5619D3">
        <w:t>collaborat</w:t>
      </w:r>
      <w:r w:rsidR="3879F7F8">
        <w:t>ing</w:t>
      </w:r>
      <w:r>
        <w:t xml:space="preserve"> successfully with many community partners to offer vaccines to </w:t>
      </w:r>
      <w:r w:rsidR="0006754C">
        <w:t xml:space="preserve">the </w:t>
      </w:r>
      <w:r w:rsidR="008269D8">
        <w:t>public</w:t>
      </w:r>
      <w:r>
        <w:t xml:space="preserve">. </w:t>
      </w:r>
    </w:p>
    <w:p w14:paraId="648938C6" w14:textId="2B666BDD" w:rsidR="00006837" w:rsidRDefault="006346D6" w:rsidP="006346D6">
      <w:r>
        <w:t xml:space="preserve">               </w:t>
      </w:r>
    </w:p>
    <w:p w14:paraId="6AC9CBFC" w14:textId="77777777" w:rsidR="006346D6" w:rsidRDefault="006346D6" w:rsidP="006346D6">
      <w:pPr>
        <w:pStyle w:val="ListParagraph"/>
        <w:numPr>
          <w:ilvl w:val="0"/>
          <w:numId w:val="8"/>
        </w:numPr>
        <w:spacing w:line="256" w:lineRule="auto"/>
      </w:pPr>
      <w:r>
        <w:t xml:space="preserve">APH has strengthened the Mobile Vaccination Program (MVP), which offers COVID-19 vaccination for targeted groups in community-identified locations. The MVP responds to requests from the community to provide vaccinations to homebound residents and to host pop-up vaccination clinics at long term care facilities, housing complexes, and other facilities. Organizations are encouraged to complete an online questionnaire to express interest in scheduling a pop-up vaccination clinic at their facility. </w:t>
      </w:r>
    </w:p>
    <w:p w14:paraId="5AA365C0" w14:textId="77777777" w:rsidR="006346D6" w:rsidRDefault="006346D6" w:rsidP="006346D6">
      <w:pPr>
        <w:pStyle w:val="ListParagraph"/>
        <w:numPr>
          <w:ilvl w:val="0"/>
          <w:numId w:val="8"/>
        </w:numPr>
        <w:spacing w:line="256" w:lineRule="auto"/>
      </w:pPr>
      <w:r w:rsidRPr="00AB03C5">
        <w:t>APH has set up PODs and Pop-Ups (temporary vaccine clinics) in locations where there are low vaccination rates.</w:t>
      </w:r>
      <w:r>
        <w:t xml:space="preserve">  </w:t>
      </w:r>
    </w:p>
    <w:p w14:paraId="49836378" w14:textId="234D4321" w:rsidR="006346D6" w:rsidRDefault="006346D6" w:rsidP="006346D6">
      <w:pPr>
        <w:pStyle w:val="ListParagraph"/>
        <w:numPr>
          <w:ilvl w:val="0"/>
          <w:numId w:val="8"/>
        </w:numPr>
        <w:spacing w:line="256" w:lineRule="auto"/>
      </w:pPr>
      <w:r w:rsidRPr="00AB03C5">
        <w:t>APH has partnered with local authorities to set up community-based vaccine events.</w:t>
      </w:r>
      <w:r w:rsidR="00494BD6">
        <w:t xml:space="preserve"> </w:t>
      </w:r>
    </w:p>
    <w:p w14:paraId="41AAB8D5" w14:textId="5042874C" w:rsidR="2985B61C" w:rsidRDefault="3DDC4BDE" w:rsidP="4C8B7E41">
      <w:pPr>
        <w:pStyle w:val="ListParagraph"/>
        <w:numPr>
          <w:ilvl w:val="0"/>
          <w:numId w:val="7"/>
        </w:numPr>
        <w:spacing w:line="256" w:lineRule="auto"/>
      </w:pPr>
      <w:r>
        <w:t xml:space="preserve">APH offers special services to the deaf, </w:t>
      </w:r>
      <w:proofErr w:type="gramStart"/>
      <w:r>
        <w:t>blind</w:t>
      </w:r>
      <w:proofErr w:type="gramEnd"/>
      <w:r>
        <w:t xml:space="preserve"> and visually impaired communities by </w:t>
      </w:r>
      <w:r w:rsidR="002E1D40">
        <w:t xml:space="preserve">providing </w:t>
      </w:r>
      <w:r w:rsidR="002E1D40" w:rsidRPr="4C8B7E41">
        <w:rPr>
          <w:rFonts w:ascii="Segoe UI" w:eastAsia="Segoe UI" w:hAnsi="Segoe UI" w:cs="Segoe UI"/>
          <w:sz w:val="21"/>
          <w:szCs w:val="21"/>
        </w:rPr>
        <w:t>ASL</w:t>
      </w:r>
      <w:r w:rsidR="005D66D0">
        <w:rPr>
          <w:rFonts w:ascii="Segoe UI" w:eastAsia="Segoe UI" w:hAnsi="Segoe UI" w:cs="Segoe UI"/>
          <w:sz w:val="21"/>
          <w:szCs w:val="21"/>
        </w:rPr>
        <w:t xml:space="preserve"> </w:t>
      </w:r>
      <w:r w:rsidR="76C227A4" w:rsidRPr="4C8B7E41">
        <w:rPr>
          <w:rFonts w:ascii="Segoe UI" w:eastAsia="Segoe UI" w:hAnsi="Segoe UI" w:cs="Segoe UI"/>
          <w:sz w:val="21"/>
          <w:szCs w:val="21"/>
        </w:rPr>
        <w:t xml:space="preserve">interpretation </w:t>
      </w:r>
      <w:r w:rsidR="005D66D0">
        <w:rPr>
          <w:rFonts w:ascii="Segoe UI" w:eastAsia="Segoe UI" w:hAnsi="Segoe UI" w:cs="Segoe UI"/>
          <w:sz w:val="21"/>
          <w:szCs w:val="21"/>
        </w:rPr>
        <w:t>and other assistive s</w:t>
      </w:r>
      <w:r w:rsidR="76C227A4" w:rsidRPr="4C8B7E41">
        <w:rPr>
          <w:rFonts w:ascii="Segoe UI" w:eastAsia="Segoe UI" w:hAnsi="Segoe UI" w:cs="Segoe UI"/>
          <w:sz w:val="21"/>
          <w:szCs w:val="21"/>
        </w:rPr>
        <w:t xml:space="preserve">ervices at </w:t>
      </w:r>
      <w:r w:rsidR="005D66D0">
        <w:rPr>
          <w:rFonts w:ascii="Segoe UI" w:eastAsia="Segoe UI" w:hAnsi="Segoe UI" w:cs="Segoe UI"/>
          <w:sz w:val="21"/>
          <w:szCs w:val="21"/>
        </w:rPr>
        <w:t xml:space="preserve">vaccination sites. </w:t>
      </w:r>
      <w:r w:rsidR="76C227A4" w:rsidRPr="4C8B7E41">
        <w:rPr>
          <w:rFonts w:ascii="Segoe UI" w:eastAsia="Segoe UI" w:hAnsi="Segoe UI" w:cs="Segoe UI"/>
          <w:sz w:val="21"/>
          <w:szCs w:val="21"/>
        </w:rPr>
        <w:t xml:space="preserve"> </w:t>
      </w:r>
      <w:r w:rsidR="00B73232">
        <w:rPr>
          <w:rFonts w:ascii="Segoe UI" w:eastAsia="Segoe UI" w:hAnsi="Segoe UI" w:cs="Segoe UI"/>
          <w:sz w:val="21"/>
          <w:szCs w:val="21"/>
        </w:rPr>
        <w:t xml:space="preserve">APH is also collaborating directly with community partners to ensure that </w:t>
      </w:r>
      <w:r w:rsidR="00B65DFA">
        <w:rPr>
          <w:rFonts w:ascii="Segoe UI" w:eastAsia="Segoe UI" w:hAnsi="Segoe UI" w:cs="Segoe UI"/>
          <w:sz w:val="21"/>
          <w:szCs w:val="21"/>
        </w:rPr>
        <w:t xml:space="preserve">vaccination services are accessible to people with disabilities in the community. </w:t>
      </w:r>
    </w:p>
    <w:p w14:paraId="508BE1F0" w14:textId="77777777" w:rsidR="006346D6" w:rsidRDefault="006346D6" w:rsidP="006346D6">
      <w:pPr>
        <w:pStyle w:val="ListParagraph"/>
        <w:numPr>
          <w:ilvl w:val="0"/>
          <w:numId w:val="8"/>
        </w:numPr>
        <w:spacing w:line="256" w:lineRule="auto"/>
      </w:pPr>
      <w:r>
        <w:lastRenderedPageBreak/>
        <w:t>APH has developed a COVID-19 Education Team which offers COVID-19 vaccination education outreach opportunities. Organizations are encouraged to complete an online questionnaire to express interest in scheduling a vaccine education session at their facility.</w:t>
      </w:r>
    </w:p>
    <w:p w14:paraId="0305C8C4" w14:textId="77777777" w:rsidR="00E00C2A" w:rsidRDefault="006346D6" w:rsidP="00E00C2A">
      <w:pPr>
        <w:pStyle w:val="ListParagraph"/>
        <w:numPr>
          <w:ilvl w:val="0"/>
          <w:numId w:val="8"/>
        </w:numPr>
        <w:spacing w:line="256" w:lineRule="auto"/>
      </w:pPr>
      <w:r>
        <w:t xml:space="preserve">APH </w:t>
      </w:r>
      <w:r w:rsidR="009D1244">
        <w:t>has</w:t>
      </w:r>
      <w:r>
        <w:t xml:space="preserve"> work</w:t>
      </w:r>
      <w:r w:rsidR="009D1244">
        <w:t>ed</w:t>
      </w:r>
      <w:r>
        <w:t xml:space="preserve"> diligently to ensure that the Austin </w:t>
      </w:r>
      <w:proofErr w:type="spellStart"/>
      <w:r>
        <w:t>Healthforce</w:t>
      </w:r>
      <w:proofErr w:type="spellEnd"/>
      <w:r>
        <w:t xml:space="preserve"> online registration system will be prepared to schedule patients for their booster doses and send appointment reminders</w:t>
      </w:r>
    </w:p>
    <w:p w14:paraId="17EE4E6E" w14:textId="77777777" w:rsidR="00E00C2A" w:rsidRDefault="006346D6" w:rsidP="00E00C2A">
      <w:pPr>
        <w:pStyle w:val="ListParagraph"/>
        <w:numPr>
          <w:ilvl w:val="0"/>
          <w:numId w:val="8"/>
        </w:numPr>
        <w:spacing w:line="256" w:lineRule="auto"/>
      </w:pPr>
      <w:r>
        <w:t>APH has several existing regular vaccination opportunities, with the ability to increase availability on short notice.</w:t>
      </w:r>
    </w:p>
    <w:p w14:paraId="30D6EE00" w14:textId="447D59E4" w:rsidR="007E79BD" w:rsidRDefault="006346D6" w:rsidP="00E00C2A">
      <w:pPr>
        <w:pStyle w:val="ListParagraph"/>
        <w:numPr>
          <w:ilvl w:val="0"/>
          <w:numId w:val="8"/>
        </w:numPr>
        <w:spacing w:line="256" w:lineRule="auto"/>
      </w:pPr>
      <w:r>
        <w:t xml:space="preserve">In consideration of the success of APH’s previous mass vaccination sites, APH is working to identify a location that can accommodate mass vaccination operations capable of vaccinating </w:t>
      </w:r>
      <w:r w:rsidR="009D1244">
        <w:t>many</w:t>
      </w:r>
      <w:r>
        <w:t xml:space="preserve"> people per day</w:t>
      </w:r>
    </w:p>
    <w:p w14:paraId="3B2A3385" w14:textId="17E83F74" w:rsidR="00B337EE" w:rsidRDefault="007E79BD" w:rsidP="006563B4">
      <w:pPr>
        <w:pStyle w:val="ListParagraph"/>
        <w:numPr>
          <w:ilvl w:val="0"/>
          <w:numId w:val="8"/>
        </w:numPr>
        <w:spacing w:line="256" w:lineRule="auto"/>
      </w:pPr>
      <w:r>
        <w:t xml:space="preserve">APH will maintain walk-up unscheduled appointments at clinic sites to accommodate </w:t>
      </w:r>
      <w:r w:rsidR="009D1244">
        <w:t>patients</w:t>
      </w:r>
      <w:r>
        <w:t xml:space="preserve"> who are unable to preregister</w:t>
      </w:r>
    </w:p>
    <w:p w14:paraId="7E48C3D0" w14:textId="5E10AB6B" w:rsidR="00D77C38" w:rsidRDefault="00D77C38" w:rsidP="006563B4">
      <w:pPr>
        <w:pStyle w:val="ListParagraph"/>
        <w:numPr>
          <w:ilvl w:val="0"/>
          <w:numId w:val="8"/>
        </w:numPr>
        <w:spacing w:line="256" w:lineRule="auto"/>
      </w:pPr>
      <w:r>
        <w:t>APH has reinforced partnerships with Travis County and the County Constable, among other partners</w:t>
      </w:r>
      <w:r w:rsidR="008435B6">
        <w:t>, to provide comprehensive vaccination services across the county</w:t>
      </w:r>
    </w:p>
    <w:p w14:paraId="6B0E9AA0" w14:textId="2C4535AB" w:rsidR="008F64B6" w:rsidRDefault="008F64B6" w:rsidP="008F64B6">
      <w:pPr>
        <w:spacing w:line="256" w:lineRule="auto"/>
        <w:ind w:firstLine="360"/>
      </w:pPr>
      <w:r>
        <w:t>These lessons, among others, have prepared APH to ensure that, as we look forward to the approval of booster doses, vaccine administration will remain accessible and equitable.</w:t>
      </w:r>
    </w:p>
    <w:p w14:paraId="65DF9DAB" w14:textId="77777777" w:rsidR="006563B4" w:rsidRPr="00B337EE" w:rsidRDefault="006563B4" w:rsidP="008F64B6">
      <w:pPr>
        <w:spacing w:line="256" w:lineRule="auto"/>
      </w:pPr>
    </w:p>
    <w:p w14:paraId="07EB39C1" w14:textId="77777777" w:rsidR="00C61A9D" w:rsidRDefault="00C61A9D">
      <w:pPr>
        <w:rPr>
          <w:b/>
        </w:rPr>
      </w:pPr>
      <w:r>
        <w:rPr>
          <w:u w:val="single"/>
        </w:rPr>
        <w:t>COVID-19 Vaccination Third-dose Scheduling &amp; Reminders</w:t>
      </w:r>
    </w:p>
    <w:p w14:paraId="37EA85D7" w14:textId="63F3515C" w:rsidR="000A125F" w:rsidRDefault="00514FBC" w:rsidP="00C61A9D">
      <w:pPr>
        <w:ind w:firstLine="720"/>
      </w:pPr>
      <w:r>
        <w:t xml:space="preserve">Healthcare providers will be required to notify their own patients to schedule their third dose. Texas DSHS will provide lists from ImmTrac2 of clients to support third dose scheduling and it is up to the healthcare provider to </w:t>
      </w:r>
      <w:r w:rsidR="005A7AB8">
        <w:t>arrange</w:t>
      </w:r>
      <w:r>
        <w:t xml:space="preserve"> the reminder. For any Austin Public Health administered vaccines, the current scheduling portal for COVID-19 will be used. Austin Public Health </w:t>
      </w:r>
      <w:r w:rsidR="00FD77F2">
        <w:t>has updated</w:t>
      </w:r>
      <w:r>
        <w:t xml:space="preserve"> this portal to support vaccine scheduling, including reminders for scheduling appointments</w:t>
      </w:r>
      <w:r w:rsidR="00FD77F2">
        <w:t>,</w:t>
      </w:r>
      <w:r>
        <w:t xml:space="preserve"> for a third dose of the </w:t>
      </w:r>
      <w:r w:rsidR="00C51372">
        <w:t>COVID-19</w:t>
      </w:r>
      <w:r>
        <w:t xml:space="preserve"> vaccine. </w:t>
      </w:r>
    </w:p>
    <w:p w14:paraId="0A3C03AE" w14:textId="2F12C5C2" w:rsidR="000C7C2F" w:rsidRDefault="009F2AD0" w:rsidP="009B4AC3">
      <w:pPr>
        <w:ind w:firstLine="720"/>
      </w:pPr>
      <w:r>
        <w:t>APH is</w:t>
      </w:r>
      <w:r w:rsidR="00171D35">
        <w:t xml:space="preserve"> actively reaching </w:t>
      </w:r>
      <w:r w:rsidR="004B5403">
        <w:t xml:space="preserve">out to </w:t>
      </w:r>
      <w:r w:rsidR="007E79BD">
        <w:t>hard-to-reach</w:t>
      </w:r>
      <w:r w:rsidR="004B5403">
        <w:t xml:space="preserve"> populations through our call center to reduce barriers and offer appointments to</w:t>
      </w:r>
      <w:r w:rsidR="009B5C78">
        <w:t xml:space="preserve"> eligible individuals</w:t>
      </w:r>
      <w:r w:rsidR="004B5403">
        <w:t xml:space="preserve"> seeking their 3</w:t>
      </w:r>
      <w:r w:rsidR="004B5403" w:rsidRPr="009B4AC3">
        <w:rPr>
          <w:vertAlign w:val="superscript"/>
        </w:rPr>
        <w:t>rd</w:t>
      </w:r>
      <w:r w:rsidR="004B5403">
        <w:t xml:space="preserve"> dose</w:t>
      </w:r>
      <w:r w:rsidR="009B5C78">
        <w:t xml:space="preserve">. </w:t>
      </w:r>
      <w:r>
        <w:t xml:space="preserve">Upon CDC authorization, APH will contact APH COVID-19 vaccine patients to remind </w:t>
      </w:r>
      <w:r w:rsidR="00452F3A">
        <w:t>patients of the</w:t>
      </w:r>
      <w:r>
        <w:t xml:space="preserve"> </w:t>
      </w:r>
      <w:r w:rsidR="007E79BD">
        <w:t>8-month</w:t>
      </w:r>
      <w:r>
        <w:t xml:space="preserve"> booster schedule through a direct text, </w:t>
      </w:r>
      <w:r w:rsidR="009D1244">
        <w:t>email,</w:t>
      </w:r>
      <w:r>
        <w:t xml:space="preserve"> or phone call.  Patients will be offered an appointment with APH and</w:t>
      </w:r>
      <w:r w:rsidR="00452F3A">
        <w:t xml:space="preserve"> be directed to available vaccine </w:t>
      </w:r>
      <w:r w:rsidR="00783A61">
        <w:t xml:space="preserve">providers the community. </w:t>
      </w:r>
      <w:r w:rsidR="007E79BD">
        <w:t>Throughout the coming months,</w:t>
      </w:r>
      <w:r>
        <w:t xml:space="preserve"> any</w:t>
      </w:r>
      <w:r w:rsidR="007E79BD">
        <w:t xml:space="preserve"> eligible individual</w:t>
      </w:r>
      <w:r>
        <w:t xml:space="preserve"> seeking a 3rd dose can contact 311 to schedule an appointment.   </w:t>
      </w:r>
    </w:p>
    <w:p w14:paraId="5A3B5B60" w14:textId="77777777" w:rsidR="00F3347B" w:rsidRDefault="00F3347B" w:rsidP="00F3347B">
      <w:pPr>
        <w:rPr>
          <w:u w:val="single"/>
        </w:rPr>
      </w:pPr>
      <w:r>
        <w:rPr>
          <w:u w:val="single"/>
        </w:rPr>
        <w:t>Fully Vaccinating Populations While Providing Additional Doses</w:t>
      </w:r>
    </w:p>
    <w:p w14:paraId="322D5AA0" w14:textId="52D04D40" w:rsidR="00F3347B" w:rsidRDefault="00F3347B" w:rsidP="00F3347B">
      <w:pPr>
        <w:ind w:firstLine="720"/>
      </w:pPr>
      <w:r>
        <w:t xml:space="preserve">As APH plans for the administration of additional doses of the COVID-19 vaccines, equitable vaccine distribution and access is a priority. </w:t>
      </w:r>
      <w:proofErr w:type="gramStart"/>
      <w:r>
        <w:t>In order to</w:t>
      </w:r>
      <w:proofErr w:type="gramEnd"/>
      <w:r>
        <w:t xml:space="preserve"> protect the eligible population of immunocompromised individuals along with our loved ones and community, APH will continue to encourage everyone who is still unvaccinated to get the COVID-19 vaccine. APH recognizes that there are communities who continue to suffer from COVID-19 due to low vaccination rates and will continue to offer and promote the vaccine to all persons who have not yet been vaccinated. APH will continue to develop accessible vaccination opportunities, develop appropriate educational materials and messages </w:t>
      </w:r>
      <w:r>
        <w:lastRenderedPageBreak/>
        <w:t xml:space="preserve">to address hesitancies, and collaborate with community partners to ensure vaccine uptake in Travis County’s vulnerable communities. </w:t>
      </w:r>
    </w:p>
    <w:p w14:paraId="27E4BFCF" w14:textId="289A589D" w:rsidR="00F3347B" w:rsidRDefault="006563B4" w:rsidP="006563B4">
      <w:pPr>
        <w:ind w:firstLine="720"/>
      </w:pPr>
      <w:r>
        <w:t xml:space="preserve">Notably, the supply of COVID-19 vaccine in Travis County is much greater than it was at the beginning of vaccine administration. Vaccine supply has exceeded demand, vaccination efforts have expanded, and more providers, including private providers and pharmacies, have received the vaccine for distribution. In collaboration with the Texas Department of State Health Services, APH has begun transferring the COVID-19 vaccine, along with vaccine coolers and ancillary vaccination supplies, to community partners </w:t>
      </w:r>
      <w:proofErr w:type="gramStart"/>
      <w:r>
        <w:t>in order to</w:t>
      </w:r>
      <w:proofErr w:type="gramEnd"/>
      <w:r>
        <w:t xml:space="preserve"> strengthen vaccine administration efforts among community-based providers of the COVID-19 vaccine. Travis County residents are encouraged to visit Vaccines.gov for further information regarding available vaccination sites. </w:t>
      </w:r>
      <w:r w:rsidRPr="00497266">
        <w:rPr>
          <w:rStyle w:val="eop"/>
          <w:rFonts w:cstheme="minorHAnsi"/>
          <w:color w:val="000000"/>
        </w:rPr>
        <w:t>Austin Public Health encourages those with access to other providers to seek the vaccine at other locations.  While no one will be turned away from Austin Public Health, it is important to note that APH’s focus is on the uninsured and underinsured populations</w:t>
      </w:r>
    </w:p>
    <w:p w14:paraId="004554E6" w14:textId="6E9BCB6E" w:rsidR="008020DA" w:rsidRDefault="008020DA" w:rsidP="008020DA">
      <w:pPr>
        <w:pStyle w:val="Heading1"/>
      </w:pPr>
      <w:bookmarkStart w:id="4" w:name="_Toc83281165"/>
      <w:r w:rsidRPr="7BA2F75E">
        <w:t xml:space="preserve">Section </w:t>
      </w:r>
      <w:r>
        <w:t>3</w:t>
      </w:r>
      <w:r w:rsidRPr="7BA2F75E">
        <w:t xml:space="preserve">: COVID-19 </w:t>
      </w:r>
      <w:r>
        <w:t>Vaccination in Pediatric Patients</w:t>
      </w:r>
      <w:bookmarkEnd w:id="4"/>
    </w:p>
    <w:p w14:paraId="39EC4040" w14:textId="6E9BCB6E" w:rsidR="008020DA" w:rsidRPr="00E00C2A" w:rsidRDefault="008020DA" w:rsidP="008020DA">
      <w:pPr>
        <w:rPr>
          <w:b/>
        </w:rPr>
      </w:pPr>
    </w:p>
    <w:p w14:paraId="0F3E5394" w14:textId="66151EA1" w:rsidR="008020DA" w:rsidRDefault="00D5707E" w:rsidP="00F43423">
      <w:pPr>
        <w:ind w:firstLine="720"/>
      </w:pPr>
      <w:r>
        <w:t xml:space="preserve">Vaccination continues to be the best line of defense against COVID-19. </w:t>
      </w:r>
      <w:r w:rsidR="008A53BC">
        <w:t>Currently, the CDC recommends COVID-19 vaccination in everyone 12 years and older</w:t>
      </w:r>
      <w:r w:rsidR="00D328E6">
        <w:t xml:space="preserve">. </w:t>
      </w:r>
      <w:r w:rsidR="00DC7C5D">
        <w:t xml:space="preserve">At this time, only the Pfizer mRNA COVID-19 vaccine is approved for children under the age of 18. Despite this restriction, APH has been diligent in vaccinating children 12 years and older. </w:t>
      </w:r>
      <w:r w:rsidR="001E65E9">
        <w:t xml:space="preserve">Existing outlets such as </w:t>
      </w:r>
      <w:r w:rsidR="003B79E1">
        <w:t xml:space="preserve">APH </w:t>
      </w:r>
      <w:r w:rsidR="003405FD">
        <w:t xml:space="preserve">Shots for Tots clinics have </w:t>
      </w:r>
      <w:r w:rsidR="00C10536">
        <w:t xml:space="preserve">provided the COVID-19 vaccine to children and family members in addition to </w:t>
      </w:r>
      <w:r w:rsidR="00477D3A">
        <w:t>helping protect children and family from life-threatening illness by</w:t>
      </w:r>
      <w:r w:rsidR="006912BE">
        <w:t xml:space="preserve"> </w:t>
      </w:r>
      <w:r w:rsidR="0400D4F8">
        <w:t>offer</w:t>
      </w:r>
      <w:r w:rsidR="3FD43452">
        <w:t>ing</w:t>
      </w:r>
      <w:r w:rsidR="006912BE">
        <w:t xml:space="preserve"> additional immunization services to uninsured and underinsured children and their families. </w:t>
      </w:r>
      <w:r w:rsidR="00E910B8">
        <w:t xml:space="preserve">APH </w:t>
      </w:r>
      <w:r w:rsidR="003B79E1">
        <w:t>has</w:t>
      </w:r>
      <w:r w:rsidR="00E910B8">
        <w:t xml:space="preserve"> also</w:t>
      </w:r>
      <w:r w:rsidR="003B79E1">
        <w:t xml:space="preserve"> partnered with </w:t>
      </w:r>
      <w:r w:rsidR="00EA4CBC">
        <w:t>public school districts</w:t>
      </w:r>
      <w:r w:rsidR="00946E3F">
        <w:t>, charter schools, and private schools to host vaccination clinics for students and their families</w:t>
      </w:r>
      <w:r w:rsidR="00E910B8">
        <w:t xml:space="preserve"> across Travis County. </w:t>
      </w:r>
    </w:p>
    <w:p w14:paraId="6FE38839" w14:textId="6FA50BF3" w:rsidR="005C4EE0" w:rsidRDefault="005C4EE0" w:rsidP="00F43423">
      <w:pPr>
        <w:ind w:firstLine="720"/>
      </w:pPr>
      <w:r>
        <w:t>Austin Public Health will utilize guidance from the</w:t>
      </w:r>
      <w:r w:rsidR="009E132E">
        <w:t xml:space="preserve"> FDA and</w:t>
      </w:r>
      <w:r>
        <w:t xml:space="preserve"> CDC</w:t>
      </w:r>
      <w:r w:rsidR="009E132E">
        <w:t xml:space="preserve">’s </w:t>
      </w:r>
      <w:r>
        <w:t>ACIP</w:t>
      </w:r>
      <w:r w:rsidR="00C51BD3">
        <w:t xml:space="preserve"> made </w:t>
      </w:r>
      <w:proofErr w:type="gramStart"/>
      <w:r w:rsidR="00C51BD3">
        <w:t>in regard to</w:t>
      </w:r>
      <w:proofErr w:type="gramEnd"/>
      <w:r w:rsidR="00C51BD3">
        <w:t xml:space="preserve"> </w:t>
      </w:r>
      <w:r w:rsidR="00665021">
        <w:t xml:space="preserve">the vaccination of children under 12 years of age. </w:t>
      </w:r>
      <w:r w:rsidR="00116242">
        <w:t xml:space="preserve">Children under the age of 12, once eligible, will be able to receive their vaccination at APH COVID-19 vaccine sites. In addition, APH has been proactive in developing </w:t>
      </w:r>
      <w:r w:rsidR="00873108">
        <w:t xml:space="preserve">plans with local schools </w:t>
      </w:r>
      <w:r w:rsidR="00EA6DCB">
        <w:t xml:space="preserve">and is prepared to </w:t>
      </w:r>
      <w:r w:rsidR="002F334B">
        <w:t xml:space="preserve">conduct pop-up vaccination clinics at accessible school locations. </w:t>
      </w:r>
    </w:p>
    <w:p w14:paraId="48D7B4F1" w14:textId="25B423F5" w:rsidR="00863CCE" w:rsidRDefault="00AF176A" w:rsidP="00F43423">
      <w:pPr>
        <w:ind w:firstLine="720"/>
        <w:rPr>
          <w:rFonts w:cstheme="minorHAnsi"/>
          <w:color w:val="23221F"/>
          <w:sz w:val="21"/>
          <w:szCs w:val="21"/>
          <w:shd w:val="clear" w:color="auto" w:fill="FFFFFF"/>
        </w:rPr>
      </w:pPr>
      <w:r w:rsidRPr="009B4AC3">
        <w:rPr>
          <w:rStyle w:val="Strong"/>
          <w:rFonts w:cstheme="minorHAnsi"/>
          <w:color w:val="23221F"/>
          <w:sz w:val="21"/>
          <w:szCs w:val="21"/>
          <w:shd w:val="clear" w:color="auto" w:fill="FFFFFF"/>
        </w:rPr>
        <w:t>Authorized adult consent: </w:t>
      </w:r>
      <w:r w:rsidRPr="009B4AC3">
        <w:rPr>
          <w:rFonts w:cstheme="minorHAnsi"/>
          <w:color w:val="23221F"/>
          <w:sz w:val="21"/>
          <w:szCs w:val="21"/>
          <w:shd w:val="clear" w:color="auto" w:fill="FFFFFF"/>
        </w:rPr>
        <w:t xml:space="preserve">If </w:t>
      </w:r>
      <w:r w:rsidR="00BA76A3">
        <w:rPr>
          <w:rFonts w:cstheme="minorHAnsi"/>
          <w:color w:val="23221F"/>
          <w:sz w:val="21"/>
          <w:szCs w:val="21"/>
          <w:shd w:val="clear" w:color="auto" w:fill="FFFFFF"/>
        </w:rPr>
        <w:t>an individual is</w:t>
      </w:r>
      <w:r w:rsidRPr="009B4AC3">
        <w:rPr>
          <w:rFonts w:cstheme="minorHAnsi"/>
          <w:color w:val="23221F"/>
          <w:sz w:val="21"/>
          <w:szCs w:val="21"/>
          <w:shd w:val="clear" w:color="auto" w:fill="FFFFFF"/>
        </w:rPr>
        <w:t xml:space="preserve"> younger than 18 years old, </w:t>
      </w:r>
      <w:r w:rsidR="00BA76A3">
        <w:rPr>
          <w:rFonts w:cstheme="minorHAnsi"/>
          <w:color w:val="23221F"/>
          <w:sz w:val="21"/>
          <w:szCs w:val="21"/>
          <w:shd w:val="clear" w:color="auto" w:fill="FFFFFF"/>
        </w:rPr>
        <w:t>they</w:t>
      </w:r>
      <w:r w:rsidRPr="009B4AC3">
        <w:rPr>
          <w:rFonts w:cstheme="minorHAnsi"/>
          <w:color w:val="23221F"/>
          <w:sz w:val="21"/>
          <w:szCs w:val="21"/>
          <w:shd w:val="clear" w:color="auto" w:fill="FFFFFF"/>
        </w:rPr>
        <w:t xml:space="preserve"> </w:t>
      </w:r>
      <w:r w:rsidR="00BA76A3">
        <w:rPr>
          <w:rFonts w:cstheme="minorHAnsi"/>
          <w:color w:val="23221F"/>
          <w:sz w:val="21"/>
          <w:szCs w:val="21"/>
          <w:shd w:val="clear" w:color="auto" w:fill="FFFFFF"/>
        </w:rPr>
        <w:t>will</w:t>
      </w:r>
      <w:r w:rsidRPr="009B4AC3">
        <w:rPr>
          <w:rFonts w:cstheme="minorHAnsi"/>
          <w:color w:val="23221F"/>
          <w:sz w:val="21"/>
          <w:szCs w:val="21"/>
          <w:shd w:val="clear" w:color="auto" w:fill="FFFFFF"/>
        </w:rPr>
        <w:t xml:space="preserve"> need</w:t>
      </w:r>
      <w:r>
        <w:rPr>
          <w:rFonts w:cstheme="minorHAnsi"/>
          <w:color w:val="23221F"/>
          <w:sz w:val="21"/>
          <w:szCs w:val="21"/>
          <w:shd w:val="clear" w:color="auto" w:fill="FFFFFF"/>
        </w:rPr>
        <w:t xml:space="preserve"> </w:t>
      </w:r>
      <w:r w:rsidR="00BA76A3">
        <w:rPr>
          <w:rFonts w:cstheme="minorHAnsi"/>
          <w:color w:val="23221F"/>
          <w:sz w:val="21"/>
          <w:szCs w:val="21"/>
          <w:shd w:val="clear" w:color="auto" w:fill="FFFFFF"/>
        </w:rPr>
        <w:t>a</w:t>
      </w:r>
      <w:r w:rsidRPr="009B4AC3">
        <w:rPr>
          <w:rFonts w:cstheme="minorHAnsi"/>
          <w:color w:val="23221F"/>
          <w:sz w:val="21"/>
          <w:szCs w:val="21"/>
          <w:shd w:val="clear" w:color="auto" w:fill="FFFFFF"/>
        </w:rPr>
        <w:t xml:space="preserve"> consent from an authorized adult to get the vaccine</w:t>
      </w:r>
      <w:r>
        <w:rPr>
          <w:rFonts w:cstheme="minorHAnsi"/>
          <w:color w:val="23221F"/>
          <w:sz w:val="21"/>
          <w:szCs w:val="21"/>
          <w:shd w:val="clear" w:color="auto" w:fill="FFFFFF"/>
        </w:rPr>
        <w:t xml:space="preserve">. </w:t>
      </w:r>
    </w:p>
    <w:p w14:paraId="7860D44F" w14:textId="12D0C2FC" w:rsidR="00863CCE" w:rsidRPr="009B4AC3" w:rsidRDefault="00863CCE" w:rsidP="00863CCE">
      <w:pPr>
        <w:rPr>
          <w:rFonts w:cstheme="minorHAnsi"/>
          <w:color w:val="23221F"/>
          <w:shd w:val="clear" w:color="auto" w:fill="FFFFFF"/>
        </w:rPr>
      </w:pPr>
      <w:r w:rsidRPr="009B4AC3">
        <w:rPr>
          <w:rFonts w:cstheme="minorHAnsi"/>
          <w:color w:val="23221F"/>
          <w:shd w:val="clear" w:color="auto" w:fill="FFFFFF"/>
        </w:rPr>
        <w:t>Authorized adults who may consent for minors include:</w:t>
      </w:r>
    </w:p>
    <w:p w14:paraId="345BAE49" w14:textId="07CF742A" w:rsidR="00112DC6" w:rsidRPr="009B4AC3" w:rsidRDefault="00112DC6" w:rsidP="009B4AC3">
      <w:pPr>
        <w:pStyle w:val="ListParagraph"/>
        <w:numPr>
          <w:ilvl w:val="0"/>
          <w:numId w:val="11"/>
        </w:numPr>
        <w:rPr>
          <w:rFonts w:cstheme="minorHAnsi"/>
          <w:color w:val="23221F"/>
          <w:shd w:val="clear" w:color="auto" w:fill="FFFFFF"/>
        </w:rPr>
      </w:pPr>
      <w:r w:rsidRPr="009B4AC3">
        <w:rPr>
          <w:rFonts w:cstheme="minorHAnsi"/>
          <w:color w:val="23221F"/>
          <w:shd w:val="clear" w:color="auto" w:fill="FFFFFF"/>
        </w:rPr>
        <w:t>Parent</w:t>
      </w:r>
    </w:p>
    <w:p w14:paraId="50F3911C" w14:textId="5C25386D" w:rsidR="00863CCE" w:rsidRPr="009B4AC3" w:rsidRDefault="00863CCE" w:rsidP="009B4AC3">
      <w:pPr>
        <w:pStyle w:val="ListParagraph"/>
        <w:numPr>
          <w:ilvl w:val="0"/>
          <w:numId w:val="11"/>
        </w:numPr>
        <w:rPr>
          <w:rFonts w:cstheme="minorHAnsi"/>
          <w:color w:val="23221F"/>
          <w:shd w:val="clear" w:color="auto" w:fill="FFFFFF"/>
        </w:rPr>
      </w:pPr>
      <w:r w:rsidRPr="009B4AC3">
        <w:rPr>
          <w:rFonts w:cstheme="minorHAnsi"/>
          <w:color w:val="23221F"/>
          <w:shd w:val="clear" w:color="auto" w:fill="FFFFFF"/>
        </w:rPr>
        <w:t>Adult who has court permission to make health care decisions for you (legal guardian)</w:t>
      </w:r>
    </w:p>
    <w:p w14:paraId="2B12C91F" w14:textId="77777777" w:rsidR="00863CCE" w:rsidRPr="009B4AC3" w:rsidRDefault="00863CCE" w:rsidP="009B4AC3">
      <w:pPr>
        <w:pStyle w:val="ListParagraph"/>
        <w:numPr>
          <w:ilvl w:val="0"/>
          <w:numId w:val="11"/>
        </w:numPr>
        <w:rPr>
          <w:rFonts w:cstheme="minorHAnsi"/>
          <w:color w:val="23221F"/>
          <w:shd w:val="clear" w:color="auto" w:fill="FFFFFF"/>
        </w:rPr>
      </w:pPr>
      <w:r w:rsidRPr="009B4AC3">
        <w:rPr>
          <w:rFonts w:cstheme="minorHAnsi"/>
          <w:color w:val="23221F"/>
          <w:shd w:val="clear" w:color="auto" w:fill="FFFFFF"/>
        </w:rPr>
        <w:t>Adult who has your parent's written permission to make health care decisions for you</w:t>
      </w:r>
    </w:p>
    <w:p w14:paraId="42FFD619" w14:textId="742B45A6" w:rsidR="004E1761" w:rsidRDefault="00863CCE" w:rsidP="005C4EE0">
      <w:pPr>
        <w:pStyle w:val="ListParagraph"/>
        <w:numPr>
          <w:ilvl w:val="0"/>
          <w:numId w:val="11"/>
        </w:numPr>
        <w:rPr>
          <w:rFonts w:cstheme="minorHAnsi"/>
          <w:color w:val="23221F"/>
          <w:shd w:val="clear" w:color="auto" w:fill="FFFFFF"/>
        </w:rPr>
      </w:pPr>
      <w:r w:rsidRPr="009B4AC3">
        <w:rPr>
          <w:rFonts w:cstheme="minorHAnsi"/>
          <w:color w:val="23221F"/>
          <w:shd w:val="clear" w:color="auto" w:fill="FFFFFF"/>
        </w:rPr>
        <w:t>Adult relative responsible for your health care</w:t>
      </w:r>
    </w:p>
    <w:p w14:paraId="689B7D6C" w14:textId="5301D7ED" w:rsidR="00375F02" w:rsidRPr="00E50F67" w:rsidRDefault="007507EE" w:rsidP="00E50F67">
      <w:pPr>
        <w:ind w:firstLine="360"/>
        <w:rPr>
          <w:color w:val="23221F"/>
          <w:shd w:val="clear" w:color="auto" w:fill="FFFFFF"/>
        </w:rPr>
      </w:pPr>
      <w:r>
        <w:t xml:space="preserve">If </w:t>
      </w:r>
      <w:r w:rsidR="00C76192">
        <w:t xml:space="preserve">an authorized adult cannot </w:t>
      </w:r>
      <w:r w:rsidR="00F87567">
        <w:t xml:space="preserve">attend the vaccine appointment with a minor, the adult may fill out </w:t>
      </w:r>
      <w:r w:rsidR="004F2016">
        <w:t xml:space="preserve">an adult consent form in advance. </w:t>
      </w:r>
    </w:p>
    <w:sectPr w:rsidR="00375F02" w:rsidRPr="00E50F67" w:rsidSect="00415FFF">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2EB52" w14:textId="77777777" w:rsidR="00FD6A19" w:rsidRDefault="00FD6A19" w:rsidP="0061608F">
      <w:pPr>
        <w:spacing w:after="0" w:line="240" w:lineRule="auto"/>
      </w:pPr>
      <w:r>
        <w:separator/>
      </w:r>
    </w:p>
  </w:endnote>
  <w:endnote w:type="continuationSeparator" w:id="0">
    <w:p w14:paraId="4B3F20C7" w14:textId="77777777" w:rsidR="00FD6A19" w:rsidRDefault="00FD6A19" w:rsidP="0061608F">
      <w:pPr>
        <w:spacing w:after="0" w:line="240" w:lineRule="auto"/>
      </w:pPr>
      <w:r>
        <w:continuationSeparator/>
      </w:r>
    </w:p>
  </w:endnote>
  <w:endnote w:type="continuationNotice" w:id="1">
    <w:p w14:paraId="615E2296" w14:textId="77777777" w:rsidR="00FD6A19" w:rsidRDefault="00FD6A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70FF" w14:textId="71C2A239" w:rsidR="0061608F" w:rsidRDefault="0061608F" w:rsidP="0061608F">
    <w:pPr>
      <w:pStyle w:val="Footer"/>
      <w:jc w:val="center"/>
      <w:rPr>
        <w:b/>
        <w:bCs/>
        <w:color w:val="FF0000"/>
      </w:rPr>
    </w:pPr>
    <w:r>
      <w:rPr>
        <w:b/>
        <w:bCs/>
        <w:color w:val="FF0000"/>
      </w:rPr>
      <w:t>For Official Use Only</w:t>
    </w:r>
  </w:p>
  <w:p w14:paraId="52D65A1E" w14:textId="0CCEFB1E" w:rsidR="0061608F" w:rsidRDefault="0061608F" w:rsidP="0061608F">
    <w:pPr>
      <w:pStyle w:val="Footer"/>
    </w:pPr>
    <w:r>
      <w:t xml:space="preserve">Do Not Release without Written Permission from Austin Public Health </w:t>
    </w:r>
    <w:r w:rsidR="00305CAA">
      <w:rPr>
        <w:rFonts w:ascii="Symbol" w:eastAsia="Symbol" w:hAnsi="Symbol" w:cs="Symbol"/>
      </w:rPr>
      <w:t>·</w:t>
    </w:r>
    <w:r w:rsidR="00305CAA">
      <w:t xml:space="preserve"> </w:t>
    </w:r>
    <w:r>
      <w:t>If re</w:t>
    </w:r>
    <w:r w:rsidR="00BE4D2F">
      <w:t xml:space="preserve">ceived by media, Contact: </w:t>
    </w:r>
    <w:hyperlink r:id="rId1">
      <w:r w:rsidR="15C61AFB" w:rsidRPr="15C61AFB">
        <w:rPr>
          <w:rStyle w:val="Hyperlink"/>
        </w:rPr>
        <w:t>HSEMPIO@Austintexas.gov</w:t>
      </w:r>
    </w:hyperlink>
    <w:r w:rsidR="00305CAA">
      <w:t xml:space="preserve"> </w:t>
    </w:r>
    <w:r w:rsidR="00305CAA">
      <w:rPr>
        <w:rFonts w:ascii="Symbol" w:eastAsia="Symbol" w:hAnsi="Symbol" w:cs="Symbol"/>
      </w:rPr>
      <w:t>·</w:t>
    </w:r>
    <w:r w:rsidR="00305CAA">
      <w:t xml:space="preserve"> </w:t>
    </w:r>
    <w:r w:rsidR="00BE4D2F">
      <w:t>Capital Area COVID-19 Vaccine Distribution Plan Companion</w:t>
    </w:r>
    <w:r w:rsidR="00305CAA">
      <w:t xml:space="preserve"> </w:t>
    </w:r>
    <w:r w:rsidR="00D50CAF">
      <w:rPr>
        <w:rFonts w:ascii="Symbol" w:eastAsia="Symbol" w:hAnsi="Symbol" w:cs="Symbol"/>
      </w:rPr>
      <w:t>·</w:t>
    </w:r>
    <w:r w:rsidR="00D50CAF">
      <w:t xml:space="preserve"> </w:t>
    </w:r>
    <w:r w:rsidR="00BE4D2F">
      <w:t>Version 1.0</w:t>
    </w:r>
  </w:p>
  <w:p w14:paraId="79D51309" w14:textId="4BB4D27C" w:rsidR="00BE4D2F" w:rsidRPr="0061608F" w:rsidRDefault="00736E2E" w:rsidP="00736E2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57B92" w14:textId="77777777" w:rsidR="00FD6A19" w:rsidRDefault="00FD6A19" w:rsidP="0061608F">
      <w:pPr>
        <w:spacing w:after="0" w:line="240" w:lineRule="auto"/>
      </w:pPr>
      <w:r>
        <w:separator/>
      </w:r>
    </w:p>
  </w:footnote>
  <w:footnote w:type="continuationSeparator" w:id="0">
    <w:p w14:paraId="5EE18E39" w14:textId="77777777" w:rsidR="00FD6A19" w:rsidRDefault="00FD6A19" w:rsidP="0061608F">
      <w:pPr>
        <w:spacing w:after="0" w:line="240" w:lineRule="auto"/>
      </w:pPr>
      <w:r>
        <w:continuationSeparator/>
      </w:r>
    </w:p>
  </w:footnote>
  <w:footnote w:type="continuationNotice" w:id="1">
    <w:p w14:paraId="180F031E" w14:textId="77777777" w:rsidR="00FD6A19" w:rsidRDefault="00FD6A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7BBF"/>
    <w:multiLevelType w:val="hybridMultilevel"/>
    <w:tmpl w:val="5EFE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B1A07"/>
    <w:multiLevelType w:val="hybridMultilevel"/>
    <w:tmpl w:val="FFFFFFFF"/>
    <w:lvl w:ilvl="0" w:tplc="588EA26A">
      <w:start w:val="1"/>
      <w:numFmt w:val="upperRoman"/>
      <w:lvlText w:val="%1."/>
      <w:lvlJc w:val="right"/>
      <w:pPr>
        <w:ind w:left="720" w:hanging="360"/>
      </w:pPr>
    </w:lvl>
    <w:lvl w:ilvl="1" w:tplc="6936C8C2">
      <w:start w:val="1"/>
      <w:numFmt w:val="lowerLetter"/>
      <w:lvlText w:val="%2."/>
      <w:lvlJc w:val="left"/>
      <w:pPr>
        <w:ind w:left="1440" w:hanging="360"/>
      </w:pPr>
    </w:lvl>
    <w:lvl w:ilvl="2" w:tplc="61266D54">
      <w:start w:val="1"/>
      <w:numFmt w:val="lowerRoman"/>
      <w:lvlText w:val="%3."/>
      <w:lvlJc w:val="right"/>
      <w:pPr>
        <w:ind w:left="2160" w:hanging="180"/>
      </w:pPr>
    </w:lvl>
    <w:lvl w:ilvl="3" w:tplc="B1BAA990">
      <w:start w:val="1"/>
      <w:numFmt w:val="decimal"/>
      <w:lvlText w:val="%4."/>
      <w:lvlJc w:val="left"/>
      <w:pPr>
        <w:ind w:left="2880" w:hanging="360"/>
      </w:pPr>
    </w:lvl>
    <w:lvl w:ilvl="4" w:tplc="7BE0C038">
      <w:start w:val="1"/>
      <w:numFmt w:val="lowerLetter"/>
      <w:lvlText w:val="%5."/>
      <w:lvlJc w:val="left"/>
      <w:pPr>
        <w:ind w:left="3600" w:hanging="360"/>
      </w:pPr>
    </w:lvl>
    <w:lvl w:ilvl="5" w:tplc="A824D882">
      <w:start w:val="1"/>
      <w:numFmt w:val="lowerRoman"/>
      <w:lvlText w:val="%6."/>
      <w:lvlJc w:val="right"/>
      <w:pPr>
        <w:ind w:left="4320" w:hanging="180"/>
      </w:pPr>
    </w:lvl>
    <w:lvl w:ilvl="6" w:tplc="9D86CEE6">
      <w:start w:val="1"/>
      <w:numFmt w:val="decimal"/>
      <w:lvlText w:val="%7."/>
      <w:lvlJc w:val="left"/>
      <w:pPr>
        <w:ind w:left="5040" w:hanging="360"/>
      </w:pPr>
    </w:lvl>
    <w:lvl w:ilvl="7" w:tplc="CF9878C4">
      <w:start w:val="1"/>
      <w:numFmt w:val="lowerLetter"/>
      <w:lvlText w:val="%8."/>
      <w:lvlJc w:val="left"/>
      <w:pPr>
        <w:ind w:left="5760" w:hanging="360"/>
      </w:pPr>
    </w:lvl>
    <w:lvl w:ilvl="8" w:tplc="74EE325C">
      <w:start w:val="1"/>
      <w:numFmt w:val="lowerRoman"/>
      <w:lvlText w:val="%9."/>
      <w:lvlJc w:val="right"/>
      <w:pPr>
        <w:ind w:left="6480" w:hanging="180"/>
      </w:pPr>
    </w:lvl>
  </w:abstractNum>
  <w:abstractNum w:abstractNumId="2" w15:restartNumberingAfterBreak="0">
    <w:nsid w:val="1CBF719E"/>
    <w:multiLevelType w:val="hybridMultilevel"/>
    <w:tmpl w:val="F1C0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B03FC"/>
    <w:multiLevelType w:val="hybridMultilevel"/>
    <w:tmpl w:val="82A69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0600F7F"/>
    <w:multiLevelType w:val="hybridMultilevel"/>
    <w:tmpl w:val="4392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45305"/>
    <w:multiLevelType w:val="hybridMultilevel"/>
    <w:tmpl w:val="7E8AFA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2535411"/>
    <w:multiLevelType w:val="hybridMultilevel"/>
    <w:tmpl w:val="FFFFFFFF"/>
    <w:lvl w:ilvl="0" w:tplc="8B1884A4">
      <w:start w:val="1"/>
      <w:numFmt w:val="bullet"/>
      <w:lvlText w:val=""/>
      <w:lvlJc w:val="left"/>
      <w:pPr>
        <w:ind w:left="720" w:hanging="360"/>
      </w:pPr>
      <w:rPr>
        <w:rFonts w:ascii="Symbol" w:hAnsi="Symbol" w:hint="default"/>
      </w:rPr>
    </w:lvl>
    <w:lvl w:ilvl="1" w:tplc="13D8A130">
      <w:start w:val="1"/>
      <w:numFmt w:val="bullet"/>
      <w:lvlText w:val="o"/>
      <w:lvlJc w:val="left"/>
      <w:pPr>
        <w:ind w:left="1440" w:hanging="360"/>
      </w:pPr>
      <w:rPr>
        <w:rFonts w:ascii="Courier New" w:hAnsi="Courier New" w:hint="default"/>
      </w:rPr>
    </w:lvl>
    <w:lvl w:ilvl="2" w:tplc="3258E228">
      <w:start w:val="1"/>
      <w:numFmt w:val="bullet"/>
      <w:lvlText w:val=""/>
      <w:lvlJc w:val="left"/>
      <w:pPr>
        <w:ind w:left="2160" w:hanging="360"/>
      </w:pPr>
      <w:rPr>
        <w:rFonts w:ascii="Wingdings" w:hAnsi="Wingdings" w:hint="default"/>
      </w:rPr>
    </w:lvl>
    <w:lvl w:ilvl="3" w:tplc="C7C0B86A">
      <w:start w:val="1"/>
      <w:numFmt w:val="bullet"/>
      <w:lvlText w:val=""/>
      <w:lvlJc w:val="left"/>
      <w:pPr>
        <w:ind w:left="2880" w:hanging="360"/>
      </w:pPr>
      <w:rPr>
        <w:rFonts w:ascii="Symbol" w:hAnsi="Symbol" w:hint="default"/>
      </w:rPr>
    </w:lvl>
    <w:lvl w:ilvl="4" w:tplc="734222BE">
      <w:start w:val="1"/>
      <w:numFmt w:val="bullet"/>
      <w:lvlText w:val="o"/>
      <w:lvlJc w:val="left"/>
      <w:pPr>
        <w:ind w:left="3600" w:hanging="360"/>
      </w:pPr>
      <w:rPr>
        <w:rFonts w:ascii="Courier New" w:hAnsi="Courier New" w:hint="default"/>
      </w:rPr>
    </w:lvl>
    <w:lvl w:ilvl="5" w:tplc="17C8A032">
      <w:start w:val="1"/>
      <w:numFmt w:val="bullet"/>
      <w:lvlText w:val=""/>
      <w:lvlJc w:val="left"/>
      <w:pPr>
        <w:ind w:left="4320" w:hanging="360"/>
      </w:pPr>
      <w:rPr>
        <w:rFonts w:ascii="Wingdings" w:hAnsi="Wingdings" w:hint="default"/>
      </w:rPr>
    </w:lvl>
    <w:lvl w:ilvl="6" w:tplc="0F048DF0">
      <w:start w:val="1"/>
      <w:numFmt w:val="bullet"/>
      <w:lvlText w:val=""/>
      <w:lvlJc w:val="left"/>
      <w:pPr>
        <w:ind w:left="5040" w:hanging="360"/>
      </w:pPr>
      <w:rPr>
        <w:rFonts w:ascii="Symbol" w:hAnsi="Symbol" w:hint="default"/>
      </w:rPr>
    </w:lvl>
    <w:lvl w:ilvl="7" w:tplc="A4365BC6">
      <w:start w:val="1"/>
      <w:numFmt w:val="bullet"/>
      <w:lvlText w:val="o"/>
      <w:lvlJc w:val="left"/>
      <w:pPr>
        <w:ind w:left="5760" w:hanging="360"/>
      </w:pPr>
      <w:rPr>
        <w:rFonts w:ascii="Courier New" w:hAnsi="Courier New" w:hint="default"/>
      </w:rPr>
    </w:lvl>
    <w:lvl w:ilvl="8" w:tplc="2AD20A52">
      <w:start w:val="1"/>
      <w:numFmt w:val="bullet"/>
      <w:lvlText w:val=""/>
      <w:lvlJc w:val="left"/>
      <w:pPr>
        <w:ind w:left="6480" w:hanging="360"/>
      </w:pPr>
      <w:rPr>
        <w:rFonts w:ascii="Wingdings" w:hAnsi="Wingdings" w:hint="default"/>
      </w:rPr>
    </w:lvl>
  </w:abstractNum>
  <w:abstractNum w:abstractNumId="7" w15:restartNumberingAfterBreak="0">
    <w:nsid w:val="374F0431"/>
    <w:multiLevelType w:val="hybridMultilevel"/>
    <w:tmpl w:val="1CE04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E1197"/>
    <w:multiLevelType w:val="hybridMultilevel"/>
    <w:tmpl w:val="CCECF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A77FB"/>
    <w:multiLevelType w:val="hybridMultilevel"/>
    <w:tmpl w:val="5824C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DE7828"/>
    <w:multiLevelType w:val="hybridMultilevel"/>
    <w:tmpl w:val="F6BC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7"/>
  </w:num>
  <w:num w:numId="6">
    <w:abstractNumId w:val="3"/>
  </w:num>
  <w:num w:numId="7">
    <w:abstractNumId w:val="0"/>
  </w:num>
  <w:num w:numId="8">
    <w:abstractNumId w:val="0"/>
  </w:num>
  <w:num w:numId="9">
    <w:abstractNumId w:val="5"/>
  </w:num>
  <w:num w:numId="10">
    <w:abstractNumId w:val="3"/>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FB403F"/>
    <w:rsid w:val="00001328"/>
    <w:rsid w:val="00002C10"/>
    <w:rsid w:val="00003811"/>
    <w:rsid w:val="00005A6E"/>
    <w:rsid w:val="00006089"/>
    <w:rsid w:val="00006837"/>
    <w:rsid w:val="000153C6"/>
    <w:rsid w:val="00016892"/>
    <w:rsid w:val="00020DD6"/>
    <w:rsid w:val="0002423A"/>
    <w:rsid w:val="00027BBF"/>
    <w:rsid w:val="00031116"/>
    <w:rsid w:val="00033BB6"/>
    <w:rsid w:val="0004016D"/>
    <w:rsid w:val="0004517F"/>
    <w:rsid w:val="0004595F"/>
    <w:rsid w:val="00050945"/>
    <w:rsid w:val="00052FB5"/>
    <w:rsid w:val="0005361E"/>
    <w:rsid w:val="0006048E"/>
    <w:rsid w:val="00062649"/>
    <w:rsid w:val="00067147"/>
    <w:rsid w:val="0006754C"/>
    <w:rsid w:val="000829C1"/>
    <w:rsid w:val="0009086E"/>
    <w:rsid w:val="000917C4"/>
    <w:rsid w:val="000A125F"/>
    <w:rsid w:val="000B364E"/>
    <w:rsid w:val="000C4AC2"/>
    <w:rsid w:val="000C7C2F"/>
    <w:rsid w:val="000D1B53"/>
    <w:rsid w:val="000D1D95"/>
    <w:rsid w:val="000D475C"/>
    <w:rsid w:val="000E170A"/>
    <w:rsid w:val="000E67D8"/>
    <w:rsid w:val="000F1C5C"/>
    <w:rsid w:val="000F28B6"/>
    <w:rsid w:val="00103AFF"/>
    <w:rsid w:val="0010758A"/>
    <w:rsid w:val="00112DC6"/>
    <w:rsid w:val="00114EB7"/>
    <w:rsid w:val="00116242"/>
    <w:rsid w:val="001215C4"/>
    <w:rsid w:val="00121E36"/>
    <w:rsid w:val="00124042"/>
    <w:rsid w:val="00124A72"/>
    <w:rsid w:val="00125068"/>
    <w:rsid w:val="00127E3C"/>
    <w:rsid w:val="001320D6"/>
    <w:rsid w:val="001327B1"/>
    <w:rsid w:val="001428FA"/>
    <w:rsid w:val="00151E2D"/>
    <w:rsid w:val="00151FF7"/>
    <w:rsid w:val="00164200"/>
    <w:rsid w:val="001660B3"/>
    <w:rsid w:val="00171D35"/>
    <w:rsid w:val="00175241"/>
    <w:rsid w:val="001811EE"/>
    <w:rsid w:val="001953D9"/>
    <w:rsid w:val="0019738A"/>
    <w:rsid w:val="00197ECC"/>
    <w:rsid w:val="001A649D"/>
    <w:rsid w:val="001A6A53"/>
    <w:rsid w:val="001B5EC0"/>
    <w:rsid w:val="001C0B6E"/>
    <w:rsid w:val="001C0D49"/>
    <w:rsid w:val="001C17F5"/>
    <w:rsid w:val="001E65E9"/>
    <w:rsid w:val="001E74D3"/>
    <w:rsid w:val="001F3629"/>
    <w:rsid w:val="0020380D"/>
    <w:rsid w:val="002141F7"/>
    <w:rsid w:val="0021431C"/>
    <w:rsid w:val="00222B5A"/>
    <w:rsid w:val="002315EF"/>
    <w:rsid w:val="00232F03"/>
    <w:rsid w:val="00235BB7"/>
    <w:rsid w:val="00243F58"/>
    <w:rsid w:val="00247E91"/>
    <w:rsid w:val="00255085"/>
    <w:rsid w:val="00261AA6"/>
    <w:rsid w:val="00267B52"/>
    <w:rsid w:val="00271039"/>
    <w:rsid w:val="0028711A"/>
    <w:rsid w:val="002A4420"/>
    <w:rsid w:val="002A6772"/>
    <w:rsid w:val="002B23AF"/>
    <w:rsid w:val="002B2F1C"/>
    <w:rsid w:val="002C0245"/>
    <w:rsid w:val="002C53D2"/>
    <w:rsid w:val="002E1D40"/>
    <w:rsid w:val="002E59A7"/>
    <w:rsid w:val="002F1DE3"/>
    <w:rsid w:val="002F334B"/>
    <w:rsid w:val="002F7D02"/>
    <w:rsid w:val="00303C74"/>
    <w:rsid w:val="00303E54"/>
    <w:rsid w:val="00305CAA"/>
    <w:rsid w:val="00316DF8"/>
    <w:rsid w:val="003211F7"/>
    <w:rsid w:val="00324484"/>
    <w:rsid w:val="003405FD"/>
    <w:rsid w:val="00350EE7"/>
    <w:rsid w:val="00375B30"/>
    <w:rsid w:val="00375F02"/>
    <w:rsid w:val="003805B3"/>
    <w:rsid w:val="00385813"/>
    <w:rsid w:val="00386A9B"/>
    <w:rsid w:val="00395EBB"/>
    <w:rsid w:val="003A1638"/>
    <w:rsid w:val="003A1926"/>
    <w:rsid w:val="003A2166"/>
    <w:rsid w:val="003A28A0"/>
    <w:rsid w:val="003A53B1"/>
    <w:rsid w:val="003A676C"/>
    <w:rsid w:val="003B79E1"/>
    <w:rsid w:val="003C1B5F"/>
    <w:rsid w:val="003D00F0"/>
    <w:rsid w:val="003E457C"/>
    <w:rsid w:val="003E4F0E"/>
    <w:rsid w:val="003E7728"/>
    <w:rsid w:val="0040521A"/>
    <w:rsid w:val="0040762F"/>
    <w:rsid w:val="00415FFF"/>
    <w:rsid w:val="0042423D"/>
    <w:rsid w:val="004316AB"/>
    <w:rsid w:val="00434A4D"/>
    <w:rsid w:val="00436C98"/>
    <w:rsid w:val="00446434"/>
    <w:rsid w:val="00450740"/>
    <w:rsid w:val="00452F3A"/>
    <w:rsid w:val="00453A48"/>
    <w:rsid w:val="00455C0C"/>
    <w:rsid w:val="00467651"/>
    <w:rsid w:val="00474CA9"/>
    <w:rsid w:val="00475C80"/>
    <w:rsid w:val="00477D3A"/>
    <w:rsid w:val="004806ED"/>
    <w:rsid w:val="00493C06"/>
    <w:rsid w:val="00494BD6"/>
    <w:rsid w:val="00495900"/>
    <w:rsid w:val="004A333A"/>
    <w:rsid w:val="004A430F"/>
    <w:rsid w:val="004A44A1"/>
    <w:rsid w:val="004A49F0"/>
    <w:rsid w:val="004A67C7"/>
    <w:rsid w:val="004B5403"/>
    <w:rsid w:val="004D1E29"/>
    <w:rsid w:val="004E08BD"/>
    <w:rsid w:val="004E09A9"/>
    <w:rsid w:val="004E1761"/>
    <w:rsid w:val="004E47BB"/>
    <w:rsid w:val="004E52ED"/>
    <w:rsid w:val="004F1A92"/>
    <w:rsid w:val="004F2016"/>
    <w:rsid w:val="004F3C68"/>
    <w:rsid w:val="00513E2E"/>
    <w:rsid w:val="00514FBC"/>
    <w:rsid w:val="005176F9"/>
    <w:rsid w:val="00530FEC"/>
    <w:rsid w:val="005357FC"/>
    <w:rsid w:val="00540875"/>
    <w:rsid w:val="00541ECA"/>
    <w:rsid w:val="005455BE"/>
    <w:rsid w:val="00555C6D"/>
    <w:rsid w:val="00570505"/>
    <w:rsid w:val="00577E13"/>
    <w:rsid w:val="0058021E"/>
    <w:rsid w:val="00582A4E"/>
    <w:rsid w:val="00585508"/>
    <w:rsid w:val="0059169B"/>
    <w:rsid w:val="005A17E3"/>
    <w:rsid w:val="005A7AB8"/>
    <w:rsid w:val="005B0C0D"/>
    <w:rsid w:val="005B30A9"/>
    <w:rsid w:val="005B356A"/>
    <w:rsid w:val="005C4EE0"/>
    <w:rsid w:val="005D3661"/>
    <w:rsid w:val="005D66D0"/>
    <w:rsid w:val="005D7930"/>
    <w:rsid w:val="005E53B0"/>
    <w:rsid w:val="005E7342"/>
    <w:rsid w:val="00600B1D"/>
    <w:rsid w:val="0061565E"/>
    <w:rsid w:val="0061608F"/>
    <w:rsid w:val="006232D2"/>
    <w:rsid w:val="00623B5E"/>
    <w:rsid w:val="006346D6"/>
    <w:rsid w:val="006425AE"/>
    <w:rsid w:val="00644ED6"/>
    <w:rsid w:val="0065129F"/>
    <w:rsid w:val="00652672"/>
    <w:rsid w:val="006534D1"/>
    <w:rsid w:val="006563B4"/>
    <w:rsid w:val="00657471"/>
    <w:rsid w:val="00665021"/>
    <w:rsid w:val="006850AF"/>
    <w:rsid w:val="006912BE"/>
    <w:rsid w:val="00696128"/>
    <w:rsid w:val="006A0897"/>
    <w:rsid w:val="006A26B3"/>
    <w:rsid w:val="006A3142"/>
    <w:rsid w:val="006B080F"/>
    <w:rsid w:val="006B11D7"/>
    <w:rsid w:val="006B4E72"/>
    <w:rsid w:val="006C0330"/>
    <w:rsid w:val="006D48F2"/>
    <w:rsid w:val="006E36AF"/>
    <w:rsid w:val="006E36FC"/>
    <w:rsid w:val="006F0CA9"/>
    <w:rsid w:val="006F2650"/>
    <w:rsid w:val="00704B76"/>
    <w:rsid w:val="007117A6"/>
    <w:rsid w:val="00711D6B"/>
    <w:rsid w:val="00722943"/>
    <w:rsid w:val="00724875"/>
    <w:rsid w:val="007279C2"/>
    <w:rsid w:val="00736E2E"/>
    <w:rsid w:val="00741631"/>
    <w:rsid w:val="0074545D"/>
    <w:rsid w:val="007507EE"/>
    <w:rsid w:val="00763D2A"/>
    <w:rsid w:val="007644A2"/>
    <w:rsid w:val="00772189"/>
    <w:rsid w:val="00773C4B"/>
    <w:rsid w:val="007767AE"/>
    <w:rsid w:val="00783A61"/>
    <w:rsid w:val="00784CD3"/>
    <w:rsid w:val="007936D0"/>
    <w:rsid w:val="00795A17"/>
    <w:rsid w:val="007A3E8B"/>
    <w:rsid w:val="007A4637"/>
    <w:rsid w:val="007A6B6C"/>
    <w:rsid w:val="007A7541"/>
    <w:rsid w:val="007C7798"/>
    <w:rsid w:val="007D11E4"/>
    <w:rsid w:val="007D256C"/>
    <w:rsid w:val="007D7740"/>
    <w:rsid w:val="007E553B"/>
    <w:rsid w:val="007E79BD"/>
    <w:rsid w:val="007F0C66"/>
    <w:rsid w:val="007F42A8"/>
    <w:rsid w:val="007F4CE7"/>
    <w:rsid w:val="00801C23"/>
    <w:rsid w:val="008020DA"/>
    <w:rsid w:val="00802A30"/>
    <w:rsid w:val="00814CB1"/>
    <w:rsid w:val="00822142"/>
    <w:rsid w:val="00824F9C"/>
    <w:rsid w:val="008269D8"/>
    <w:rsid w:val="00832B1F"/>
    <w:rsid w:val="00836574"/>
    <w:rsid w:val="008435B6"/>
    <w:rsid w:val="00846BA9"/>
    <w:rsid w:val="00863CCE"/>
    <w:rsid w:val="00864C96"/>
    <w:rsid w:val="00873108"/>
    <w:rsid w:val="008A10C7"/>
    <w:rsid w:val="008A53BC"/>
    <w:rsid w:val="008A7615"/>
    <w:rsid w:val="008B7BDF"/>
    <w:rsid w:val="008C16E3"/>
    <w:rsid w:val="008C3F01"/>
    <w:rsid w:val="008E10F4"/>
    <w:rsid w:val="008E31BC"/>
    <w:rsid w:val="008E5CFA"/>
    <w:rsid w:val="008E6F29"/>
    <w:rsid w:val="008F300E"/>
    <w:rsid w:val="008F3EB1"/>
    <w:rsid w:val="008F4F29"/>
    <w:rsid w:val="008F52A8"/>
    <w:rsid w:val="008F64B6"/>
    <w:rsid w:val="008F7050"/>
    <w:rsid w:val="00902972"/>
    <w:rsid w:val="00904E19"/>
    <w:rsid w:val="00904E60"/>
    <w:rsid w:val="0091345A"/>
    <w:rsid w:val="00923AB3"/>
    <w:rsid w:val="00926F06"/>
    <w:rsid w:val="00931DFF"/>
    <w:rsid w:val="00946E3F"/>
    <w:rsid w:val="00950471"/>
    <w:rsid w:val="00965779"/>
    <w:rsid w:val="00971AA2"/>
    <w:rsid w:val="00974AAC"/>
    <w:rsid w:val="009814C1"/>
    <w:rsid w:val="00985BFF"/>
    <w:rsid w:val="0098704F"/>
    <w:rsid w:val="00987217"/>
    <w:rsid w:val="00992356"/>
    <w:rsid w:val="009B1687"/>
    <w:rsid w:val="009B2787"/>
    <w:rsid w:val="009B4AC3"/>
    <w:rsid w:val="009B4DC8"/>
    <w:rsid w:val="009B5C78"/>
    <w:rsid w:val="009D1244"/>
    <w:rsid w:val="009E116C"/>
    <w:rsid w:val="009E132E"/>
    <w:rsid w:val="009E70D5"/>
    <w:rsid w:val="009E7168"/>
    <w:rsid w:val="009F2AD0"/>
    <w:rsid w:val="009F5545"/>
    <w:rsid w:val="009F65B4"/>
    <w:rsid w:val="00A0501A"/>
    <w:rsid w:val="00A169F3"/>
    <w:rsid w:val="00A17183"/>
    <w:rsid w:val="00A22F42"/>
    <w:rsid w:val="00A35676"/>
    <w:rsid w:val="00A50ED2"/>
    <w:rsid w:val="00A621A9"/>
    <w:rsid w:val="00A639A7"/>
    <w:rsid w:val="00A74B54"/>
    <w:rsid w:val="00A7728C"/>
    <w:rsid w:val="00A81A5D"/>
    <w:rsid w:val="00A84360"/>
    <w:rsid w:val="00A92BA7"/>
    <w:rsid w:val="00AA1C34"/>
    <w:rsid w:val="00AA26BE"/>
    <w:rsid w:val="00AB03C5"/>
    <w:rsid w:val="00AB071A"/>
    <w:rsid w:val="00AC71B8"/>
    <w:rsid w:val="00AC730D"/>
    <w:rsid w:val="00AD4C7E"/>
    <w:rsid w:val="00AD6661"/>
    <w:rsid w:val="00AE1A88"/>
    <w:rsid w:val="00AE1F8B"/>
    <w:rsid w:val="00AE2E6E"/>
    <w:rsid w:val="00AE745A"/>
    <w:rsid w:val="00AE7FA7"/>
    <w:rsid w:val="00AF176A"/>
    <w:rsid w:val="00B03E19"/>
    <w:rsid w:val="00B11A89"/>
    <w:rsid w:val="00B3006F"/>
    <w:rsid w:val="00B32286"/>
    <w:rsid w:val="00B337EE"/>
    <w:rsid w:val="00B3380D"/>
    <w:rsid w:val="00B363C5"/>
    <w:rsid w:val="00B46A88"/>
    <w:rsid w:val="00B65DFA"/>
    <w:rsid w:val="00B65FEA"/>
    <w:rsid w:val="00B71757"/>
    <w:rsid w:val="00B73232"/>
    <w:rsid w:val="00B8581C"/>
    <w:rsid w:val="00BA06F6"/>
    <w:rsid w:val="00BA55ED"/>
    <w:rsid w:val="00BA744E"/>
    <w:rsid w:val="00BA76A3"/>
    <w:rsid w:val="00BB018C"/>
    <w:rsid w:val="00BB777E"/>
    <w:rsid w:val="00BC20B3"/>
    <w:rsid w:val="00BC6CEA"/>
    <w:rsid w:val="00BD1E55"/>
    <w:rsid w:val="00BD68F7"/>
    <w:rsid w:val="00BE0F92"/>
    <w:rsid w:val="00BE3DD2"/>
    <w:rsid w:val="00BE4D2F"/>
    <w:rsid w:val="00BE6591"/>
    <w:rsid w:val="00C02D5B"/>
    <w:rsid w:val="00C02FAE"/>
    <w:rsid w:val="00C03938"/>
    <w:rsid w:val="00C07C04"/>
    <w:rsid w:val="00C10536"/>
    <w:rsid w:val="00C215FC"/>
    <w:rsid w:val="00C32228"/>
    <w:rsid w:val="00C3573C"/>
    <w:rsid w:val="00C373E0"/>
    <w:rsid w:val="00C42BF1"/>
    <w:rsid w:val="00C5026A"/>
    <w:rsid w:val="00C51372"/>
    <w:rsid w:val="00C51BD3"/>
    <w:rsid w:val="00C578D8"/>
    <w:rsid w:val="00C61A9D"/>
    <w:rsid w:val="00C63A25"/>
    <w:rsid w:val="00C75F35"/>
    <w:rsid w:val="00C76192"/>
    <w:rsid w:val="00C80C32"/>
    <w:rsid w:val="00C822AA"/>
    <w:rsid w:val="00C83A1A"/>
    <w:rsid w:val="00C90A70"/>
    <w:rsid w:val="00CA095D"/>
    <w:rsid w:val="00CA681B"/>
    <w:rsid w:val="00CB60A6"/>
    <w:rsid w:val="00CB7CBD"/>
    <w:rsid w:val="00CC7D63"/>
    <w:rsid w:val="00CE00EA"/>
    <w:rsid w:val="00CF1B6F"/>
    <w:rsid w:val="00CF27F1"/>
    <w:rsid w:val="00D050EB"/>
    <w:rsid w:val="00D127A5"/>
    <w:rsid w:val="00D20371"/>
    <w:rsid w:val="00D20CC3"/>
    <w:rsid w:val="00D265ED"/>
    <w:rsid w:val="00D328E6"/>
    <w:rsid w:val="00D37B6A"/>
    <w:rsid w:val="00D41821"/>
    <w:rsid w:val="00D50CAF"/>
    <w:rsid w:val="00D5519E"/>
    <w:rsid w:val="00D55FDC"/>
    <w:rsid w:val="00D5707E"/>
    <w:rsid w:val="00D704CE"/>
    <w:rsid w:val="00D71ED7"/>
    <w:rsid w:val="00D73CB5"/>
    <w:rsid w:val="00D7450D"/>
    <w:rsid w:val="00D74E9B"/>
    <w:rsid w:val="00D75EB9"/>
    <w:rsid w:val="00D77C38"/>
    <w:rsid w:val="00D83E93"/>
    <w:rsid w:val="00D900BB"/>
    <w:rsid w:val="00D91257"/>
    <w:rsid w:val="00D93704"/>
    <w:rsid w:val="00DA24FB"/>
    <w:rsid w:val="00DC576C"/>
    <w:rsid w:val="00DC7C5D"/>
    <w:rsid w:val="00DD00DD"/>
    <w:rsid w:val="00DD092B"/>
    <w:rsid w:val="00DD3D28"/>
    <w:rsid w:val="00DE0AF0"/>
    <w:rsid w:val="00DE24AE"/>
    <w:rsid w:val="00E00C2A"/>
    <w:rsid w:val="00E04109"/>
    <w:rsid w:val="00E16CB2"/>
    <w:rsid w:val="00E27CC9"/>
    <w:rsid w:val="00E348EA"/>
    <w:rsid w:val="00E35E88"/>
    <w:rsid w:val="00E43261"/>
    <w:rsid w:val="00E46EF4"/>
    <w:rsid w:val="00E50F67"/>
    <w:rsid w:val="00E53CB1"/>
    <w:rsid w:val="00E607A6"/>
    <w:rsid w:val="00E727BC"/>
    <w:rsid w:val="00E8178C"/>
    <w:rsid w:val="00E910B8"/>
    <w:rsid w:val="00EA1436"/>
    <w:rsid w:val="00EA1BDE"/>
    <w:rsid w:val="00EA4CBC"/>
    <w:rsid w:val="00EA6DCB"/>
    <w:rsid w:val="00EC31A4"/>
    <w:rsid w:val="00ED1BB0"/>
    <w:rsid w:val="00ED319D"/>
    <w:rsid w:val="00ED70F7"/>
    <w:rsid w:val="00EE0418"/>
    <w:rsid w:val="00EE077C"/>
    <w:rsid w:val="00EE2CB1"/>
    <w:rsid w:val="00EE622B"/>
    <w:rsid w:val="00EE72A0"/>
    <w:rsid w:val="00F13054"/>
    <w:rsid w:val="00F132B4"/>
    <w:rsid w:val="00F3347B"/>
    <w:rsid w:val="00F43423"/>
    <w:rsid w:val="00F47BF8"/>
    <w:rsid w:val="00F52811"/>
    <w:rsid w:val="00F5654A"/>
    <w:rsid w:val="00F60663"/>
    <w:rsid w:val="00F60F09"/>
    <w:rsid w:val="00F74133"/>
    <w:rsid w:val="00F74E94"/>
    <w:rsid w:val="00F77851"/>
    <w:rsid w:val="00F77BCE"/>
    <w:rsid w:val="00F77F50"/>
    <w:rsid w:val="00F81D6E"/>
    <w:rsid w:val="00F850D6"/>
    <w:rsid w:val="00F85561"/>
    <w:rsid w:val="00F856C9"/>
    <w:rsid w:val="00F87567"/>
    <w:rsid w:val="00F9018C"/>
    <w:rsid w:val="00F93A41"/>
    <w:rsid w:val="00F96E4A"/>
    <w:rsid w:val="00FA081D"/>
    <w:rsid w:val="00FA0E58"/>
    <w:rsid w:val="00FA7929"/>
    <w:rsid w:val="00FB53E6"/>
    <w:rsid w:val="00FC25D6"/>
    <w:rsid w:val="00FD6A19"/>
    <w:rsid w:val="00FD77F2"/>
    <w:rsid w:val="00FD7BF2"/>
    <w:rsid w:val="00FE3542"/>
    <w:rsid w:val="00FF1793"/>
    <w:rsid w:val="00FF19B7"/>
    <w:rsid w:val="00FF3AFC"/>
    <w:rsid w:val="00FF44EF"/>
    <w:rsid w:val="0123FF30"/>
    <w:rsid w:val="018C6146"/>
    <w:rsid w:val="01F6B762"/>
    <w:rsid w:val="0241085D"/>
    <w:rsid w:val="032EA6FB"/>
    <w:rsid w:val="0361373D"/>
    <w:rsid w:val="0400D4F8"/>
    <w:rsid w:val="0418A1DF"/>
    <w:rsid w:val="042FE579"/>
    <w:rsid w:val="0508AB25"/>
    <w:rsid w:val="0526810F"/>
    <w:rsid w:val="057BCD2B"/>
    <w:rsid w:val="065FD269"/>
    <w:rsid w:val="07047158"/>
    <w:rsid w:val="07486C28"/>
    <w:rsid w:val="07979BB4"/>
    <w:rsid w:val="08CA2BB6"/>
    <w:rsid w:val="08ECDC50"/>
    <w:rsid w:val="094E1B4D"/>
    <w:rsid w:val="099500CB"/>
    <w:rsid w:val="09BDAF89"/>
    <w:rsid w:val="09CD101B"/>
    <w:rsid w:val="0A3A7E83"/>
    <w:rsid w:val="0B57BD1C"/>
    <w:rsid w:val="0C69891D"/>
    <w:rsid w:val="0D352A90"/>
    <w:rsid w:val="0DA0962A"/>
    <w:rsid w:val="0E6EE7A1"/>
    <w:rsid w:val="100A3F6F"/>
    <w:rsid w:val="115CF6A9"/>
    <w:rsid w:val="11D8D0DE"/>
    <w:rsid w:val="1295CCEB"/>
    <w:rsid w:val="13B1B8EA"/>
    <w:rsid w:val="14E2D113"/>
    <w:rsid w:val="1587DF46"/>
    <w:rsid w:val="15C61AFB"/>
    <w:rsid w:val="15E17F08"/>
    <w:rsid w:val="169861F9"/>
    <w:rsid w:val="17096468"/>
    <w:rsid w:val="17FEFF6A"/>
    <w:rsid w:val="18108FD9"/>
    <w:rsid w:val="1838A1DE"/>
    <w:rsid w:val="184888E5"/>
    <w:rsid w:val="18E88C59"/>
    <w:rsid w:val="19507980"/>
    <w:rsid w:val="195A67CE"/>
    <w:rsid w:val="19CABA66"/>
    <w:rsid w:val="1A3B2284"/>
    <w:rsid w:val="1AFFBD85"/>
    <w:rsid w:val="1B123BC9"/>
    <w:rsid w:val="1C5E9E4C"/>
    <w:rsid w:val="1C67B56B"/>
    <w:rsid w:val="1C7DB956"/>
    <w:rsid w:val="1CCC5E8B"/>
    <w:rsid w:val="1DBFD24D"/>
    <w:rsid w:val="1DE9A22C"/>
    <w:rsid w:val="1E044E24"/>
    <w:rsid w:val="1E40147C"/>
    <w:rsid w:val="1F7E0DC4"/>
    <w:rsid w:val="1FBE70E6"/>
    <w:rsid w:val="20F6607F"/>
    <w:rsid w:val="21EB58EC"/>
    <w:rsid w:val="23E872DA"/>
    <w:rsid w:val="2591DCC4"/>
    <w:rsid w:val="26D81C32"/>
    <w:rsid w:val="26F83513"/>
    <w:rsid w:val="274D8C36"/>
    <w:rsid w:val="283ADFC4"/>
    <w:rsid w:val="283B8DAD"/>
    <w:rsid w:val="28B45E0A"/>
    <w:rsid w:val="2972CF5D"/>
    <w:rsid w:val="2985B61C"/>
    <w:rsid w:val="29BEC55B"/>
    <w:rsid w:val="29D21530"/>
    <w:rsid w:val="2AE7FD21"/>
    <w:rsid w:val="2B2CF21F"/>
    <w:rsid w:val="2B4787CB"/>
    <w:rsid w:val="2B8EBD10"/>
    <w:rsid w:val="2BA67065"/>
    <w:rsid w:val="2DAD85CC"/>
    <w:rsid w:val="2DC472C2"/>
    <w:rsid w:val="2E44F2AD"/>
    <w:rsid w:val="2E5E8CB1"/>
    <w:rsid w:val="3024DEB2"/>
    <w:rsid w:val="30B74EA2"/>
    <w:rsid w:val="31464C8F"/>
    <w:rsid w:val="31712152"/>
    <w:rsid w:val="324F5886"/>
    <w:rsid w:val="334F98CA"/>
    <w:rsid w:val="357FDCD0"/>
    <w:rsid w:val="3609768D"/>
    <w:rsid w:val="3641AB25"/>
    <w:rsid w:val="37AF566D"/>
    <w:rsid w:val="3879F7F8"/>
    <w:rsid w:val="3933BF71"/>
    <w:rsid w:val="39986891"/>
    <w:rsid w:val="39AD6E97"/>
    <w:rsid w:val="3A1FEF14"/>
    <w:rsid w:val="3A2FBDDA"/>
    <w:rsid w:val="3A420A7F"/>
    <w:rsid w:val="3B19E396"/>
    <w:rsid w:val="3BCC07A8"/>
    <w:rsid w:val="3C351990"/>
    <w:rsid w:val="3C9ADA15"/>
    <w:rsid w:val="3D48EE30"/>
    <w:rsid w:val="3DACB085"/>
    <w:rsid w:val="3DDC4BDE"/>
    <w:rsid w:val="3DFFA6BF"/>
    <w:rsid w:val="3E857246"/>
    <w:rsid w:val="3FD43452"/>
    <w:rsid w:val="3FFB403F"/>
    <w:rsid w:val="4156642B"/>
    <w:rsid w:val="422E3C16"/>
    <w:rsid w:val="431086ED"/>
    <w:rsid w:val="43FA1E7E"/>
    <w:rsid w:val="44204052"/>
    <w:rsid w:val="4506E9CA"/>
    <w:rsid w:val="45519394"/>
    <w:rsid w:val="461228B8"/>
    <w:rsid w:val="461C3CBD"/>
    <w:rsid w:val="46502EEE"/>
    <w:rsid w:val="4738ECEC"/>
    <w:rsid w:val="48B76F69"/>
    <w:rsid w:val="49AE7590"/>
    <w:rsid w:val="4C067411"/>
    <w:rsid w:val="4C8B7E41"/>
    <w:rsid w:val="4CC4E564"/>
    <w:rsid w:val="4DBD3941"/>
    <w:rsid w:val="4E1A0538"/>
    <w:rsid w:val="4E7F0826"/>
    <w:rsid w:val="4EC86011"/>
    <w:rsid w:val="4FF2BE17"/>
    <w:rsid w:val="509C5F35"/>
    <w:rsid w:val="50A5744E"/>
    <w:rsid w:val="515CE1AB"/>
    <w:rsid w:val="5190D094"/>
    <w:rsid w:val="51ACCFBD"/>
    <w:rsid w:val="52974374"/>
    <w:rsid w:val="53362021"/>
    <w:rsid w:val="53AF9C76"/>
    <w:rsid w:val="546E0FBA"/>
    <w:rsid w:val="54BDCD76"/>
    <w:rsid w:val="56875959"/>
    <w:rsid w:val="568F7821"/>
    <w:rsid w:val="5690FEA8"/>
    <w:rsid w:val="56A1AED1"/>
    <w:rsid w:val="56BF496A"/>
    <w:rsid w:val="56F13821"/>
    <w:rsid w:val="57A972F1"/>
    <w:rsid w:val="59639CC2"/>
    <w:rsid w:val="59C607F4"/>
    <w:rsid w:val="59ED8B50"/>
    <w:rsid w:val="5A60F32C"/>
    <w:rsid w:val="5BD3A3A8"/>
    <w:rsid w:val="5C523426"/>
    <w:rsid w:val="5C85D578"/>
    <w:rsid w:val="5D0D0C5B"/>
    <w:rsid w:val="5E7226CF"/>
    <w:rsid w:val="5EB0F08C"/>
    <w:rsid w:val="61F3D8A4"/>
    <w:rsid w:val="6210300A"/>
    <w:rsid w:val="62140AC6"/>
    <w:rsid w:val="63D8C1F2"/>
    <w:rsid w:val="6463A7A5"/>
    <w:rsid w:val="66656031"/>
    <w:rsid w:val="67404D59"/>
    <w:rsid w:val="67D08435"/>
    <w:rsid w:val="67D7CAB8"/>
    <w:rsid w:val="68F31007"/>
    <w:rsid w:val="6942FAB5"/>
    <w:rsid w:val="69632AC9"/>
    <w:rsid w:val="69C4FB0D"/>
    <w:rsid w:val="69CF127A"/>
    <w:rsid w:val="6A8C9EE8"/>
    <w:rsid w:val="6B0505A8"/>
    <w:rsid w:val="6BE80C27"/>
    <w:rsid w:val="6C098570"/>
    <w:rsid w:val="6C217EDD"/>
    <w:rsid w:val="6E5619D3"/>
    <w:rsid w:val="6EB2FD63"/>
    <w:rsid w:val="70F31A1E"/>
    <w:rsid w:val="71473190"/>
    <w:rsid w:val="7475B787"/>
    <w:rsid w:val="76883628"/>
    <w:rsid w:val="76C227A4"/>
    <w:rsid w:val="77126729"/>
    <w:rsid w:val="77C025C1"/>
    <w:rsid w:val="783AB8ED"/>
    <w:rsid w:val="7868B328"/>
    <w:rsid w:val="7A00140A"/>
    <w:rsid w:val="7AB33B0A"/>
    <w:rsid w:val="7B4B7E09"/>
    <w:rsid w:val="7C2765E0"/>
    <w:rsid w:val="7CE5D924"/>
    <w:rsid w:val="7CFC9705"/>
    <w:rsid w:val="7D4A8244"/>
    <w:rsid w:val="7D5F5388"/>
    <w:rsid w:val="7ED91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B403F"/>
  <w15:chartTrackingRefBased/>
  <w15:docId w15:val="{B84E6AA8-E35C-4C50-8CDB-99C9FCD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6AF"/>
    <w:pPr>
      <w:keepNext/>
      <w:keepLines/>
      <w:spacing w:before="240" w:after="0"/>
      <w:outlineLvl w:val="0"/>
    </w:pPr>
    <w:rPr>
      <w:rFonts w:asciiTheme="majorHAnsi" w:eastAsiaTheme="majorEastAsia" w:hAnsiTheme="majorHAnsi" w:cstheme="majorBidi"/>
      <w:b/>
      <w:color w:val="1F3864" w:themeColor="accent1" w:themeShade="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4F29"/>
    <w:pPr>
      <w:spacing w:after="0" w:line="240" w:lineRule="auto"/>
    </w:pPr>
    <w:rPr>
      <w:rFonts w:eastAsiaTheme="minorEastAsia"/>
    </w:rPr>
  </w:style>
  <w:style w:type="character" w:customStyle="1" w:styleId="NoSpacingChar">
    <w:name w:val="No Spacing Char"/>
    <w:basedOn w:val="DefaultParagraphFont"/>
    <w:link w:val="NoSpacing"/>
    <w:uiPriority w:val="1"/>
    <w:rsid w:val="008F4F29"/>
    <w:rPr>
      <w:rFonts w:eastAsiaTheme="minorEastAsia"/>
    </w:rPr>
  </w:style>
  <w:style w:type="character" w:customStyle="1" w:styleId="Heading1Char">
    <w:name w:val="Heading 1 Char"/>
    <w:basedOn w:val="DefaultParagraphFont"/>
    <w:link w:val="Heading1"/>
    <w:uiPriority w:val="9"/>
    <w:rsid w:val="006E36AF"/>
    <w:rPr>
      <w:rFonts w:asciiTheme="majorHAnsi" w:eastAsiaTheme="majorEastAsia" w:hAnsiTheme="majorHAnsi" w:cstheme="majorBidi"/>
      <w:b/>
      <w:color w:val="1F3864" w:themeColor="accent1" w:themeShade="80"/>
      <w:sz w:val="28"/>
      <w:szCs w:val="32"/>
    </w:rPr>
  </w:style>
  <w:style w:type="paragraph" w:styleId="ListParagraph">
    <w:name w:val="List Paragraph"/>
    <w:basedOn w:val="Normal"/>
    <w:uiPriority w:val="34"/>
    <w:qFormat/>
    <w:rsid w:val="006E36AF"/>
    <w:pPr>
      <w:ind w:left="720"/>
      <w:contextualSpacing/>
    </w:pPr>
  </w:style>
  <w:style w:type="paragraph" w:styleId="CommentText">
    <w:name w:val="annotation text"/>
    <w:basedOn w:val="Normal"/>
    <w:link w:val="CommentTextChar"/>
    <w:uiPriority w:val="99"/>
    <w:semiHidden/>
    <w:unhideWhenUsed/>
    <w:rsid w:val="006E36AF"/>
    <w:pPr>
      <w:spacing w:line="240" w:lineRule="auto"/>
    </w:pPr>
    <w:rPr>
      <w:sz w:val="20"/>
      <w:szCs w:val="20"/>
    </w:rPr>
  </w:style>
  <w:style w:type="character" w:customStyle="1" w:styleId="CommentTextChar">
    <w:name w:val="Comment Text Char"/>
    <w:basedOn w:val="DefaultParagraphFont"/>
    <w:link w:val="CommentText"/>
    <w:uiPriority w:val="99"/>
    <w:semiHidden/>
    <w:rsid w:val="006E36AF"/>
    <w:rPr>
      <w:sz w:val="20"/>
      <w:szCs w:val="20"/>
    </w:rPr>
  </w:style>
  <w:style w:type="character" w:styleId="CommentReference">
    <w:name w:val="annotation reference"/>
    <w:basedOn w:val="DefaultParagraphFont"/>
    <w:uiPriority w:val="99"/>
    <w:semiHidden/>
    <w:unhideWhenUsed/>
    <w:rsid w:val="006E36AF"/>
    <w:rPr>
      <w:sz w:val="16"/>
      <w:szCs w:val="16"/>
    </w:rPr>
  </w:style>
  <w:style w:type="character" w:customStyle="1" w:styleId="normaltextrun">
    <w:name w:val="normaltextrun"/>
    <w:basedOn w:val="DefaultParagraphFont"/>
    <w:rsid w:val="00931DFF"/>
  </w:style>
  <w:style w:type="character" w:customStyle="1" w:styleId="eop">
    <w:name w:val="eop"/>
    <w:basedOn w:val="DefaultParagraphFont"/>
    <w:rsid w:val="00931DFF"/>
  </w:style>
  <w:style w:type="paragraph" w:styleId="CommentSubject">
    <w:name w:val="annotation subject"/>
    <w:basedOn w:val="CommentText"/>
    <w:next w:val="CommentText"/>
    <w:link w:val="CommentSubjectChar"/>
    <w:uiPriority w:val="99"/>
    <w:semiHidden/>
    <w:unhideWhenUsed/>
    <w:rsid w:val="00F77851"/>
    <w:rPr>
      <w:b/>
      <w:bCs/>
    </w:rPr>
  </w:style>
  <w:style w:type="character" w:customStyle="1" w:styleId="CommentSubjectChar">
    <w:name w:val="Comment Subject Char"/>
    <w:basedOn w:val="CommentTextChar"/>
    <w:link w:val="CommentSubject"/>
    <w:uiPriority w:val="99"/>
    <w:semiHidden/>
    <w:rsid w:val="00F77851"/>
    <w:rPr>
      <w:b/>
      <w:bCs/>
      <w:sz w:val="20"/>
      <w:szCs w:val="20"/>
    </w:rPr>
  </w:style>
  <w:style w:type="character" w:styleId="Strong">
    <w:name w:val="Strong"/>
    <w:basedOn w:val="DefaultParagraphFont"/>
    <w:uiPriority w:val="22"/>
    <w:qFormat/>
    <w:rsid w:val="00EE622B"/>
    <w:rPr>
      <w:b/>
      <w:bCs/>
    </w:rPr>
  </w:style>
  <w:style w:type="paragraph" w:styleId="Header">
    <w:name w:val="header"/>
    <w:basedOn w:val="Normal"/>
    <w:link w:val="HeaderChar"/>
    <w:uiPriority w:val="99"/>
    <w:unhideWhenUsed/>
    <w:rsid w:val="0061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08F"/>
  </w:style>
  <w:style w:type="paragraph" w:styleId="Footer">
    <w:name w:val="footer"/>
    <w:basedOn w:val="Normal"/>
    <w:link w:val="FooterChar"/>
    <w:uiPriority w:val="99"/>
    <w:unhideWhenUsed/>
    <w:rsid w:val="0061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08F"/>
  </w:style>
  <w:style w:type="character" w:styleId="Hyperlink">
    <w:name w:val="Hyperlink"/>
    <w:basedOn w:val="DefaultParagraphFont"/>
    <w:uiPriority w:val="99"/>
    <w:unhideWhenUsed/>
    <w:rsid w:val="00BE4D2F"/>
    <w:rPr>
      <w:color w:val="0563C1" w:themeColor="hyperlink"/>
      <w:u w:val="single"/>
    </w:rPr>
  </w:style>
  <w:style w:type="character" w:styleId="UnresolvedMention">
    <w:name w:val="Unresolved Mention"/>
    <w:basedOn w:val="DefaultParagraphFont"/>
    <w:uiPriority w:val="99"/>
    <w:semiHidden/>
    <w:unhideWhenUsed/>
    <w:rsid w:val="00BE4D2F"/>
    <w:rPr>
      <w:color w:val="605E5C"/>
      <w:shd w:val="clear" w:color="auto" w:fill="E1DFDD"/>
    </w:rPr>
  </w:style>
  <w:style w:type="paragraph" w:styleId="TOCHeading">
    <w:name w:val="TOC Heading"/>
    <w:basedOn w:val="Heading1"/>
    <w:next w:val="Normal"/>
    <w:uiPriority w:val="39"/>
    <w:unhideWhenUsed/>
    <w:qFormat/>
    <w:rsid w:val="0021431C"/>
    <w:pPr>
      <w:outlineLvl w:val="9"/>
    </w:pPr>
  </w:style>
  <w:style w:type="paragraph" w:styleId="TOC1">
    <w:name w:val="toc 1"/>
    <w:basedOn w:val="Normal"/>
    <w:next w:val="Normal"/>
    <w:autoRedefine/>
    <w:uiPriority w:val="39"/>
    <w:unhideWhenUsed/>
    <w:rsid w:val="0021431C"/>
    <w:pPr>
      <w:tabs>
        <w:tab w:val="right" w:leader="dot" w:pos="9350"/>
      </w:tabs>
      <w:spacing w:after="100"/>
    </w:pPr>
  </w:style>
  <w:style w:type="paragraph" w:styleId="TOC2">
    <w:name w:val="toc 2"/>
    <w:basedOn w:val="Normal"/>
    <w:next w:val="Normal"/>
    <w:autoRedefine/>
    <w:uiPriority w:val="39"/>
    <w:unhideWhenUsed/>
    <w:rsid w:val="0021431C"/>
    <w:pPr>
      <w:tabs>
        <w:tab w:val="right" w:leader="dot" w:pos="9350"/>
      </w:tabs>
      <w:spacing w:after="100"/>
      <w:ind w:left="220"/>
    </w:pPr>
  </w:style>
  <w:style w:type="paragraph" w:styleId="PlainText">
    <w:name w:val="Plain Text"/>
    <w:basedOn w:val="Normal"/>
    <w:next w:val="ListParagraph"/>
    <w:link w:val="PlainTextChar"/>
    <w:uiPriority w:val="99"/>
    <w:unhideWhenUsed/>
    <w:qFormat/>
    <w:rsid w:val="00E27CC9"/>
    <w:pPr>
      <w:spacing w:after="0" w:line="240" w:lineRule="auto"/>
      <w:ind w:right="-720"/>
      <w:contextualSpacing/>
    </w:pPr>
    <w:rPr>
      <w:rFonts w:eastAsia="Times New Roman" w:cs="Times New Roman"/>
      <w:szCs w:val="21"/>
    </w:rPr>
  </w:style>
  <w:style w:type="character" w:customStyle="1" w:styleId="PlainTextChar">
    <w:name w:val="Plain Text Char"/>
    <w:basedOn w:val="DefaultParagraphFont"/>
    <w:link w:val="PlainText"/>
    <w:uiPriority w:val="99"/>
    <w:rsid w:val="00E27CC9"/>
    <w:rPr>
      <w:rFonts w:eastAsia="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50658">
      <w:bodyDiv w:val="1"/>
      <w:marLeft w:val="0"/>
      <w:marRight w:val="0"/>
      <w:marTop w:val="0"/>
      <w:marBottom w:val="0"/>
      <w:divBdr>
        <w:top w:val="none" w:sz="0" w:space="0" w:color="auto"/>
        <w:left w:val="none" w:sz="0" w:space="0" w:color="auto"/>
        <w:bottom w:val="none" w:sz="0" w:space="0" w:color="auto"/>
        <w:right w:val="none" w:sz="0" w:space="0" w:color="auto"/>
      </w:divBdr>
      <w:divsChild>
        <w:div w:id="717902559">
          <w:marLeft w:val="0"/>
          <w:marRight w:val="0"/>
          <w:marTop w:val="0"/>
          <w:marBottom w:val="0"/>
          <w:divBdr>
            <w:top w:val="none" w:sz="0" w:space="0" w:color="auto"/>
            <w:left w:val="none" w:sz="0" w:space="0" w:color="auto"/>
            <w:bottom w:val="none" w:sz="0" w:space="0" w:color="auto"/>
            <w:right w:val="none" w:sz="0" w:space="0" w:color="auto"/>
          </w:divBdr>
        </w:div>
        <w:div w:id="1129057405">
          <w:marLeft w:val="0"/>
          <w:marRight w:val="0"/>
          <w:marTop w:val="0"/>
          <w:marBottom w:val="0"/>
          <w:divBdr>
            <w:top w:val="none" w:sz="0" w:space="0" w:color="auto"/>
            <w:left w:val="none" w:sz="0" w:space="0" w:color="auto"/>
            <w:bottom w:val="none" w:sz="0" w:space="0" w:color="auto"/>
            <w:right w:val="none" w:sz="0" w:space="0" w:color="auto"/>
          </w:divBdr>
        </w:div>
        <w:div w:id="1207060265">
          <w:marLeft w:val="0"/>
          <w:marRight w:val="0"/>
          <w:marTop w:val="0"/>
          <w:marBottom w:val="0"/>
          <w:divBdr>
            <w:top w:val="none" w:sz="0" w:space="0" w:color="auto"/>
            <w:left w:val="none" w:sz="0" w:space="0" w:color="auto"/>
            <w:bottom w:val="none" w:sz="0" w:space="0" w:color="auto"/>
            <w:right w:val="none" w:sz="0" w:space="0" w:color="auto"/>
          </w:divBdr>
        </w:div>
      </w:divsChild>
    </w:div>
    <w:div w:id="456726433">
      <w:bodyDiv w:val="1"/>
      <w:marLeft w:val="0"/>
      <w:marRight w:val="0"/>
      <w:marTop w:val="0"/>
      <w:marBottom w:val="0"/>
      <w:divBdr>
        <w:top w:val="none" w:sz="0" w:space="0" w:color="auto"/>
        <w:left w:val="none" w:sz="0" w:space="0" w:color="auto"/>
        <w:bottom w:val="none" w:sz="0" w:space="0" w:color="auto"/>
        <w:right w:val="none" w:sz="0" w:space="0" w:color="auto"/>
      </w:divBdr>
    </w:div>
    <w:div w:id="896629404">
      <w:bodyDiv w:val="1"/>
      <w:marLeft w:val="0"/>
      <w:marRight w:val="0"/>
      <w:marTop w:val="0"/>
      <w:marBottom w:val="0"/>
      <w:divBdr>
        <w:top w:val="none" w:sz="0" w:space="0" w:color="auto"/>
        <w:left w:val="none" w:sz="0" w:space="0" w:color="auto"/>
        <w:bottom w:val="none" w:sz="0" w:space="0" w:color="auto"/>
        <w:right w:val="none" w:sz="0" w:space="0" w:color="auto"/>
      </w:divBdr>
    </w:div>
    <w:div w:id="1246299723">
      <w:bodyDiv w:val="1"/>
      <w:marLeft w:val="0"/>
      <w:marRight w:val="0"/>
      <w:marTop w:val="0"/>
      <w:marBottom w:val="0"/>
      <w:divBdr>
        <w:top w:val="none" w:sz="0" w:space="0" w:color="auto"/>
        <w:left w:val="none" w:sz="0" w:space="0" w:color="auto"/>
        <w:bottom w:val="none" w:sz="0" w:space="0" w:color="auto"/>
        <w:right w:val="none" w:sz="0" w:space="0" w:color="auto"/>
      </w:divBdr>
    </w:div>
    <w:div w:id="1414280209">
      <w:bodyDiv w:val="1"/>
      <w:marLeft w:val="0"/>
      <w:marRight w:val="0"/>
      <w:marTop w:val="0"/>
      <w:marBottom w:val="0"/>
      <w:divBdr>
        <w:top w:val="none" w:sz="0" w:space="0" w:color="auto"/>
        <w:left w:val="none" w:sz="0" w:space="0" w:color="auto"/>
        <w:bottom w:val="none" w:sz="0" w:space="0" w:color="auto"/>
        <w:right w:val="none" w:sz="0" w:space="0" w:color="auto"/>
      </w:divBdr>
      <w:divsChild>
        <w:div w:id="110638081">
          <w:marLeft w:val="0"/>
          <w:marRight w:val="0"/>
          <w:marTop w:val="0"/>
          <w:marBottom w:val="0"/>
          <w:divBdr>
            <w:top w:val="none" w:sz="0" w:space="0" w:color="auto"/>
            <w:left w:val="none" w:sz="0" w:space="0" w:color="auto"/>
            <w:bottom w:val="none" w:sz="0" w:space="0" w:color="auto"/>
            <w:right w:val="none" w:sz="0" w:space="0" w:color="auto"/>
          </w:divBdr>
        </w:div>
        <w:div w:id="621225478">
          <w:marLeft w:val="0"/>
          <w:marRight w:val="0"/>
          <w:marTop w:val="0"/>
          <w:marBottom w:val="0"/>
          <w:divBdr>
            <w:top w:val="none" w:sz="0" w:space="0" w:color="auto"/>
            <w:left w:val="none" w:sz="0" w:space="0" w:color="auto"/>
            <w:bottom w:val="none" w:sz="0" w:space="0" w:color="auto"/>
            <w:right w:val="none" w:sz="0" w:space="0" w:color="auto"/>
          </w:divBdr>
        </w:div>
      </w:divsChild>
    </w:div>
    <w:div w:id="17477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SEMPIO@Austi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6B77A4D70EEE4F91D131F212879179" ma:contentTypeVersion="8" ma:contentTypeDescription="Create a new document." ma:contentTypeScope="" ma:versionID="cf3b0da95372c2510f52bc267f1de50a">
  <xsd:schema xmlns:xsd="http://www.w3.org/2001/XMLSchema" xmlns:xs="http://www.w3.org/2001/XMLSchema" xmlns:p="http://schemas.microsoft.com/office/2006/metadata/properties" xmlns:ns2="d824d7ea-b1a0-4490-8956-f54ec5d2593a" xmlns:ns3="86a8d7a9-402f-47ec-87f6-ed1376ea286f" targetNamespace="http://schemas.microsoft.com/office/2006/metadata/properties" ma:root="true" ma:fieldsID="b1e1cd347fffaf16c59b836713722e77" ns2:_="" ns3:_="">
    <xsd:import namespace="d824d7ea-b1a0-4490-8956-f54ec5d2593a"/>
    <xsd:import namespace="86a8d7a9-402f-47ec-87f6-ed1376ea28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4d7ea-b1a0-4490-8956-f54ec5d25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8d7a9-402f-47ec-87f6-ed1376ea28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7690B0-E32D-416C-87A6-DAC56E8AB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4d7ea-b1a0-4490-8956-f54ec5d2593a"/>
    <ds:schemaRef ds:uri="86a8d7a9-402f-47ec-87f6-ed1376ea2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E13BC-76F7-4D23-BF1A-9FF6BAB861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FF0F5C-788D-4095-B5B7-B0E68564F921}">
  <ds:schemaRefs>
    <ds:schemaRef ds:uri="http://schemas.microsoft.com/sharepoint/v3/contenttype/forms"/>
  </ds:schemaRefs>
</ds:datastoreItem>
</file>

<file path=customXml/itemProps5.xml><?xml version="1.0" encoding="utf-8"?>
<ds:datastoreItem xmlns:ds="http://schemas.openxmlformats.org/officeDocument/2006/customXml" ds:itemID="{2560549D-7DD0-4C98-827A-CC52A3B7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Capital Area COVID-19 Vaccine Distribution Plan Companion</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Area COVID-19 Vaccine Distribution Plan Companion</dc:title>
  <dc:subject>DEVELOPED BY AUSTIN PUBLIC HEALTH</dc:subject>
  <dc:creator>Hernandez, Theo [APH]</dc:creator>
  <cp:keywords/>
  <dc:description/>
  <cp:lastModifiedBy>Crookham, Chris</cp:lastModifiedBy>
  <cp:revision>2</cp:revision>
  <dcterms:created xsi:type="dcterms:W3CDTF">2021-10-14T20:00:00Z</dcterms:created>
  <dcterms:modified xsi:type="dcterms:W3CDTF">2021-10-14T20:00:00Z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0x010100476B77A4D70EEE4F91D131F212879179</vt:lpwstr>
  </property>
</Properties>
</file>